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E2" w:rsidRDefault="00AA72E2" w:rsidP="00AA72E2">
      <w:pPr>
        <w:autoSpaceDE w:val="0"/>
        <w:autoSpaceDN w:val="0"/>
        <w:adjustRightInd w:val="0"/>
        <w:rPr>
          <w:sz w:val="28"/>
          <w:szCs w:val="28"/>
          <w:lang w:val="en-CA"/>
        </w:rPr>
      </w:pPr>
    </w:p>
    <w:p w:rsidR="00AA72E2" w:rsidRPr="00E22863" w:rsidRDefault="00AA72E2" w:rsidP="00AA72E2">
      <w:pPr>
        <w:rPr>
          <w:rFonts w:ascii="Garamond" w:hAnsi="Garamond" w:cs="Arial"/>
          <w:b/>
          <w:sz w:val="28"/>
          <w:szCs w:val="28"/>
          <w:lang w:val="en-CA"/>
        </w:rPr>
      </w:pPr>
      <w:r w:rsidRPr="00E22863">
        <w:rPr>
          <w:rFonts w:ascii="Garamond" w:hAnsi="Garamond" w:cs="Arial"/>
          <w:b/>
          <w:sz w:val="28"/>
          <w:szCs w:val="28"/>
          <w:lang w:val="en-CA"/>
        </w:rPr>
        <w:t xml:space="preserve">The </w:t>
      </w:r>
      <w:r w:rsidR="00D806E3">
        <w:rPr>
          <w:rFonts w:ascii="Garamond" w:hAnsi="Garamond" w:cs="Arial"/>
          <w:b/>
          <w:sz w:val="28"/>
          <w:szCs w:val="28"/>
          <w:lang w:val="en-CA"/>
        </w:rPr>
        <w:t xml:space="preserve">intangible </w:t>
      </w:r>
      <w:r w:rsidRPr="00E22863">
        <w:rPr>
          <w:rFonts w:ascii="Garamond" w:hAnsi="Garamond" w:cs="Arial"/>
          <w:b/>
          <w:sz w:val="28"/>
          <w:szCs w:val="28"/>
          <w:lang w:val="en-CA"/>
        </w:rPr>
        <w:t>economic costs of workplace injuries</w:t>
      </w:r>
      <w:bookmarkStart w:id="0" w:name="_GoBack"/>
      <w:bookmarkEnd w:id="0"/>
      <w:r w:rsidR="00140531">
        <w:rPr>
          <w:rStyle w:val="FootnoteReference"/>
          <w:rFonts w:ascii="Garamond" w:hAnsi="Garamond" w:cs="Arial"/>
          <w:b/>
          <w:sz w:val="28"/>
          <w:szCs w:val="28"/>
          <w:lang w:val="en-CA"/>
        </w:rPr>
        <w:footnoteReference w:id="1"/>
      </w:r>
    </w:p>
    <w:p w:rsidR="00867C19" w:rsidRPr="00E22863" w:rsidRDefault="00867C19" w:rsidP="00AA72E2">
      <w:pPr>
        <w:rPr>
          <w:rFonts w:ascii="Garamond" w:hAnsi="Garamond" w:cs="Arial"/>
          <w:sz w:val="28"/>
          <w:szCs w:val="28"/>
          <w:lang w:val="en-CA"/>
        </w:rPr>
      </w:pPr>
    </w:p>
    <w:p w:rsidR="00867C19" w:rsidRPr="00E22863" w:rsidRDefault="00867C19" w:rsidP="00AA72E2">
      <w:pPr>
        <w:rPr>
          <w:rFonts w:ascii="Garamond" w:hAnsi="Garamond" w:cs="Arial"/>
          <w:sz w:val="28"/>
          <w:szCs w:val="28"/>
          <w:lang w:val="en-CA"/>
        </w:rPr>
      </w:pPr>
      <w:r w:rsidRPr="00E22863">
        <w:rPr>
          <w:rFonts w:ascii="Garamond" w:hAnsi="Garamond" w:cs="Arial"/>
          <w:szCs w:val="28"/>
          <w:lang w:val="en-CA"/>
        </w:rPr>
        <w:t>Greg Mason</w:t>
      </w:r>
      <w:r w:rsidRPr="00E22863">
        <w:rPr>
          <w:rStyle w:val="FootnoteReference"/>
          <w:rFonts w:ascii="Garamond" w:hAnsi="Garamond" w:cs="Arial"/>
          <w:szCs w:val="28"/>
          <w:lang w:val="en-CA"/>
        </w:rPr>
        <w:footnoteReference w:id="2"/>
      </w:r>
    </w:p>
    <w:p w:rsidR="00AA72E2" w:rsidRPr="00E22863" w:rsidRDefault="00AA72E2" w:rsidP="00AA72E2">
      <w:pPr>
        <w:autoSpaceDE w:val="0"/>
        <w:autoSpaceDN w:val="0"/>
        <w:adjustRightInd w:val="0"/>
        <w:rPr>
          <w:rFonts w:ascii="Garamond" w:hAnsi="Garamond"/>
          <w:sz w:val="28"/>
          <w:szCs w:val="28"/>
          <w:lang w:val="en-CA"/>
        </w:rPr>
      </w:pPr>
    </w:p>
    <w:p w:rsidR="00CB0493" w:rsidRPr="00E22863" w:rsidRDefault="00CB0493" w:rsidP="00AA72E2">
      <w:pPr>
        <w:autoSpaceDE w:val="0"/>
        <w:autoSpaceDN w:val="0"/>
        <w:adjustRightInd w:val="0"/>
        <w:rPr>
          <w:rFonts w:ascii="Garamond" w:hAnsi="Garamond" w:cs="Arial"/>
          <w:b/>
          <w:sz w:val="28"/>
          <w:szCs w:val="28"/>
          <w:lang w:val="en-CA"/>
        </w:rPr>
      </w:pPr>
      <w:r w:rsidRPr="00E22863">
        <w:rPr>
          <w:rFonts w:ascii="Garamond" w:hAnsi="Garamond" w:cs="Arial"/>
          <w:b/>
          <w:sz w:val="28"/>
          <w:szCs w:val="28"/>
          <w:lang w:val="en-CA"/>
        </w:rPr>
        <w:t>Abstract</w:t>
      </w:r>
    </w:p>
    <w:p w:rsidR="00AA72E2" w:rsidRDefault="00AA72E2" w:rsidP="00AA72E2">
      <w:pPr>
        <w:autoSpaceDE w:val="0"/>
        <w:autoSpaceDN w:val="0"/>
        <w:adjustRightInd w:val="0"/>
        <w:rPr>
          <w:sz w:val="28"/>
          <w:szCs w:val="28"/>
          <w:lang w:val="en-CA"/>
        </w:rPr>
      </w:pPr>
    </w:p>
    <w:p w:rsidR="007307ED" w:rsidRPr="00E3513F" w:rsidRDefault="00E5737C" w:rsidP="00EE1FFD">
      <w:pPr>
        <w:autoSpaceDE w:val="0"/>
        <w:autoSpaceDN w:val="0"/>
        <w:adjustRightInd w:val="0"/>
        <w:rPr>
          <w:sz w:val="22"/>
        </w:rPr>
      </w:pPr>
      <w:r w:rsidRPr="00E3513F">
        <w:rPr>
          <w:szCs w:val="28"/>
          <w:lang w:val="en-CA"/>
        </w:rPr>
        <w:t xml:space="preserve">Estimates of </w:t>
      </w:r>
      <w:r w:rsidR="00AA72E2" w:rsidRPr="00E3513F">
        <w:rPr>
          <w:szCs w:val="28"/>
          <w:lang w:val="en-CA"/>
        </w:rPr>
        <w:t xml:space="preserve">direct costs of workplace accidents </w:t>
      </w:r>
      <w:r w:rsidR="009B09C3" w:rsidRPr="00E3513F">
        <w:rPr>
          <w:szCs w:val="28"/>
          <w:lang w:val="en-CA"/>
        </w:rPr>
        <w:t xml:space="preserve">often rest only </w:t>
      </w:r>
      <w:r w:rsidR="00867C19" w:rsidRPr="00E3513F">
        <w:rPr>
          <w:szCs w:val="28"/>
          <w:lang w:val="en-CA"/>
        </w:rPr>
        <w:t>on</w:t>
      </w:r>
      <w:r w:rsidR="00AA72E2" w:rsidRPr="00E3513F">
        <w:rPr>
          <w:szCs w:val="28"/>
          <w:lang w:val="en-CA"/>
        </w:rPr>
        <w:t xml:space="preserve"> short-term direct expenditures, first by the employees who are required to manage recovery after the accident, second by the employers </w:t>
      </w:r>
      <w:r w:rsidR="00867C19" w:rsidRPr="00E3513F">
        <w:rPr>
          <w:szCs w:val="28"/>
          <w:lang w:val="en-CA"/>
        </w:rPr>
        <w:t>in</w:t>
      </w:r>
      <w:r w:rsidR="00AA72E2" w:rsidRPr="00E3513F">
        <w:rPr>
          <w:szCs w:val="28"/>
          <w:lang w:val="en-CA"/>
        </w:rPr>
        <w:t xml:space="preserve"> modifying workplace settings and processes, and third by the payout compensation. However,</w:t>
      </w:r>
      <w:r w:rsidR="009B09C3" w:rsidRPr="00E3513F">
        <w:rPr>
          <w:szCs w:val="28"/>
          <w:lang w:val="en-CA"/>
        </w:rPr>
        <w:t xml:space="preserve"> personal impacts</w:t>
      </w:r>
      <w:r w:rsidR="00EE1FFD" w:rsidRPr="00E3513F">
        <w:rPr>
          <w:szCs w:val="28"/>
          <w:lang w:val="en-CA"/>
        </w:rPr>
        <w:t xml:space="preserve"> and the sequelae of the accident are often dominant for the worker and </w:t>
      </w:r>
      <w:r w:rsidR="00AA72E2" w:rsidRPr="00E3513F">
        <w:rPr>
          <w:szCs w:val="28"/>
          <w:lang w:val="en-CA"/>
        </w:rPr>
        <w:t xml:space="preserve">should be included in any estimate of </w:t>
      </w:r>
      <w:r w:rsidR="00867C19" w:rsidRPr="00E3513F">
        <w:rPr>
          <w:szCs w:val="28"/>
          <w:lang w:val="en-CA"/>
        </w:rPr>
        <w:t>t</w:t>
      </w:r>
      <w:r w:rsidR="00AA72E2" w:rsidRPr="00E3513F">
        <w:rPr>
          <w:szCs w:val="28"/>
          <w:lang w:val="en-CA"/>
        </w:rPr>
        <w:t>he costs of workplace accidents.</w:t>
      </w:r>
      <w:r w:rsidR="00867C19" w:rsidRPr="00E3513F">
        <w:rPr>
          <w:szCs w:val="28"/>
          <w:lang w:val="en-CA"/>
        </w:rPr>
        <w:t xml:space="preserve"> The current research does not usually present comprehensive measures of these costs.</w:t>
      </w:r>
      <w:r w:rsidR="009B09C3" w:rsidRPr="00E3513F">
        <w:rPr>
          <w:szCs w:val="28"/>
          <w:lang w:val="en-CA"/>
        </w:rPr>
        <w:t xml:space="preserve"> </w:t>
      </w:r>
      <w:r w:rsidR="00AA72E2" w:rsidRPr="00E3513F">
        <w:rPr>
          <w:szCs w:val="28"/>
          <w:lang w:val="en-CA"/>
        </w:rPr>
        <w:t>This study examines the full cost of workplace accidents, in Manitoba over the last 5 years</w:t>
      </w:r>
      <w:r w:rsidR="00867C19" w:rsidRPr="00E3513F">
        <w:rPr>
          <w:szCs w:val="28"/>
          <w:lang w:val="en-CA"/>
        </w:rPr>
        <w:t>, u</w:t>
      </w:r>
      <w:r w:rsidR="00AA72E2" w:rsidRPr="00E3513F">
        <w:rPr>
          <w:szCs w:val="28"/>
          <w:lang w:val="en-CA"/>
        </w:rPr>
        <w:t>sing information on fatalities, time lost from work, duration of the absence, and large sample survey</w:t>
      </w:r>
      <w:r w:rsidR="00867C19" w:rsidRPr="00E3513F">
        <w:rPr>
          <w:szCs w:val="28"/>
          <w:lang w:val="en-CA"/>
        </w:rPr>
        <w:t xml:space="preserve"> (n=2</w:t>
      </w:r>
      <w:r w:rsidR="00B732CD" w:rsidRPr="00E3513F">
        <w:rPr>
          <w:szCs w:val="28"/>
          <w:lang w:val="en-CA"/>
        </w:rPr>
        <w:t>,</w:t>
      </w:r>
      <w:r w:rsidR="00867C19" w:rsidRPr="00E3513F">
        <w:rPr>
          <w:szCs w:val="28"/>
          <w:lang w:val="en-CA"/>
        </w:rPr>
        <w:t>813)</w:t>
      </w:r>
      <w:r w:rsidR="00AA72E2" w:rsidRPr="00E3513F">
        <w:rPr>
          <w:szCs w:val="28"/>
          <w:lang w:val="en-CA"/>
        </w:rPr>
        <w:t xml:space="preserve"> of injured </w:t>
      </w:r>
      <w:r w:rsidR="00867C19" w:rsidRPr="00E3513F">
        <w:rPr>
          <w:szCs w:val="28"/>
          <w:lang w:val="en-CA"/>
        </w:rPr>
        <w:t xml:space="preserve">Manitoba </w:t>
      </w:r>
      <w:r w:rsidR="00140531" w:rsidRPr="00E3513F">
        <w:rPr>
          <w:szCs w:val="28"/>
          <w:lang w:val="en-CA"/>
        </w:rPr>
        <w:t>workers.</w:t>
      </w:r>
      <w:r w:rsidR="00867C19" w:rsidRPr="00E3513F">
        <w:rPr>
          <w:szCs w:val="28"/>
          <w:lang w:val="en-CA"/>
        </w:rPr>
        <w:t xml:space="preserve"> It</w:t>
      </w:r>
      <w:r w:rsidR="00AA72E2" w:rsidRPr="00E3513F">
        <w:rPr>
          <w:szCs w:val="28"/>
          <w:lang w:val="en-CA"/>
        </w:rPr>
        <w:t xml:space="preserve"> </w:t>
      </w:r>
      <w:r w:rsidR="00867C19" w:rsidRPr="00E3513F">
        <w:rPr>
          <w:szCs w:val="28"/>
          <w:lang w:val="en-CA"/>
        </w:rPr>
        <w:t xml:space="preserve">presents </w:t>
      </w:r>
      <w:r w:rsidR="00AA72E2" w:rsidRPr="00E3513F">
        <w:rPr>
          <w:szCs w:val="28"/>
          <w:lang w:val="en-CA"/>
        </w:rPr>
        <w:t>estimates of the non-economic and indirect costs associated with workplace accidents by implementing</w:t>
      </w:r>
      <w:r w:rsidR="009B09C3" w:rsidRPr="00E3513F">
        <w:rPr>
          <w:szCs w:val="28"/>
          <w:lang w:val="en-CA"/>
        </w:rPr>
        <w:t xml:space="preserve"> four innovations</w:t>
      </w:r>
      <w:r w:rsidR="00EE1FFD" w:rsidRPr="00E3513F">
        <w:rPr>
          <w:szCs w:val="28"/>
          <w:lang w:val="en-CA"/>
        </w:rPr>
        <w:t xml:space="preserve">. Primary data (survey information) were linked to administrative data </w:t>
      </w:r>
      <w:r w:rsidR="006A412B" w:rsidRPr="00E3513F">
        <w:rPr>
          <w:szCs w:val="28"/>
          <w:lang w:val="en-CA"/>
        </w:rPr>
        <w:t xml:space="preserve">from the Workers Compensation Board of Manitoba (WCB) </w:t>
      </w:r>
      <w:r w:rsidR="00EE1FFD" w:rsidRPr="00E3513F">
        <w:rPr>
          <w:szCs w:val="28"/>
          <w:lang w:val="en-CA"/>
        </w:rPr>
        <w:t>to increase the reliability of the estimates. We included</w:t>
      </w:r>
      <w:r w:rsidR="009B09C3" w:rsidRPr="00E3513F">
        <w:rPr>
          <w:szCs w:val="28"/>
          <w:lang w:val="en-CA"/>
        </w:rPr>
        <w:t xml:space="preserve"> </w:t>
      </w:r>
      <w:r w:rsidR="00AA72E2" w:rsidRPr="00E3513F">
        <w:rPr>
          <w:szCs w:val="28"/>
          <w:lang w:val="en-CA"/>
        </w:rPr>
        <w:t>a “significant other” (seconda</w:t>
      </w:r>
      <w:r w:rsidR="009B09C3" w:rsidRPr="00E3513F">
        <w:rPr>
          <w:szCs w:val="28"/>
          <w:lang w:val="en-CA"/>
        </w:rPr>
        <w:t>ry respondent) in the analysis to increase the accuracy of recall</w:t>
      </w:r>
      <w:r w:rsidR="00CC490A" w:rsidRPr="00E3513F">
        <w:rPr>
          <w:szCs w:val="28"/>
          <w:lang w:val="en-CA"/>
        </w:rPr>
        <w:t xml:space="preserve"> and to complete the measure of economic cost from the perspective of the household</w:t>
      </w:r>
      <w:r w:rsidR="009B09C3" w:rsidRPr="00E3513F">
        <w:rPr>
          <w:szCs w:val="28"/>
          <w:lang w:val="en-CA"/>
        </w:rPr>
        <w:t xml:space="preserve">. </w:t>
      </w:r>
      <w:r w:rsidR="00E22863" w:rsidRPr="00E3513F">
        <w:rPr>
          <w:szCs w:val="28"/>
          <w:lang w:val="en-CA"/>
        </w:rPr>
        <w:t>Increasingly, the costs of the burden of diseases must include significant others. Dyadic interviews (</w:t>
      </w:r>
      <w:r w:rsidR="00B732CD" w:rsidRPr="00E3513F">
        <w:rPr>
          <w:szCs w:val="28"/>
          <w:lang w:val="en-CA"/>
        </w:rPr>
        <w:t>in-</w:t>
      </w:r>
      <w:r w:rsidR="00E22863" w:rsidRPr="00E3513F">
        <w:rPr>
          <w:szCs w:val="28"/>
          <w:lang w:val="en-CA"/>
        </w:rPr>
        <w:t xml:space="preserve">depth interviews) of </w:t>
      </w:r>
      <w:r w:rsidR="00B732CD" w:rsidRPr="00E3513F">
        <w:rPr>
          <w:szCs w:val="28"/>
          <w:lang w:val="en-CA"/>
        </w:rPr>
        <w:t>20</w:t>
      </w:r>
      <w:r w:rsidR="00E22863" w:rsidRPr="00E3513F">
        <w:rPr>
          <w:szCs w:val="28"/>
          <w:lang w:val="en-CA"/>
        </w:rPr>
        <w:t xml:space="preserve"> pairs of primary and secondary respondents offered a qualitative dimension</w:t>
      </w:r>
      <w:r w:rsidR="009B09C3" w:rsidRPr="00E3513F">
        <w:rPr>
          <w:szCs w:val="28"/>
          <w:lang w:val="en-CA"/>
        </w:rPr>
        <w:t xml:space="preserve"> </w:t>
      </w:r>
      <w:r w:rsidR="00E22863" w:rsidRPr="00E3513F">
        <w:rPr>
          <w:szCs w:val="28"/>
          <w:lang w:val="en-CA"/>
        </w:rPr>
        <w:t xml:space="preserve">of </w:t>
      </w:r>
      <w:r w:rsidR="009B09C3" w:rsidRPr="00E3513F">
        <w:rPr>
          <w:szCs w:val="28"/>
          <w:lang w:val="en-CA"/>
        </w:rPr>
        <w:t xml:space="preserve">accident </w:t>
      </w:r>
      <w:r w:rsidR="00EE1FFD" w:rsidRPr="00E3513F">
        <w:rPr>
          <w:szCs w:val="28"/>
          <w:lang w:val="en-CA"/>
        </w:rPr>
        <w:t>impacts</w:t>
      </w:r>
      <w:r w:rsidR="006A412B" w:rsidRPr="00E3513F">
        <w:rPr>
          <w:szCs w:val="28"/>
          <w:lang w:val="en-CA"/>
        </w:rPr>
        <w:t xml:space="preserve"> to support questionnaire development</w:t>
      </w:r>
      <w:r w:rsidR="00E22863" w:rsidRPr="00E3513F">
        <w:rPr>
          <w:szCs w:val="28"/>
          <w:lang w:val="en-CA"/>
        </w:rPr>
        <w:t>. A su</w:t>
      </w:r>
      <w:r w:rsidR="00EE1FFD" w:rsidRPr="00E3513F">
        <w:rPr>
          <w:szCs w:val="28"/>
          <w:lang w:val="en-CA"/>
        </w:rPr>
        <w:t xml:space="preserve">rvey based </w:t>
      </w:r>
      <w:r w:rsidR="00E22863" w:rsidRPr="00E3513F">
        <w:rPr>
          <w:szCs w:val="28"/>
          <w:lang w:val="en-CA"/>
        </w:rPr>
        <w:t xml:space="preserve">(telephone) </w:t>
      </w:r>
      <w:r w:rsidR="00EE1FFD" w:rsidRPr="00E3513F">
        <w:rPr>
          <w:szCs w:val="28"/>
          <w:lang w:val="en-CA"/>
        </w:rPr>
        <w:t>c</w:t>
      </w:r>
      <w:r w:rsidR="00E22863" w:rsidRPr="00E3513F">
        <w:rPr>
          <w:szCs w:val="28"/>
          <w:lang w:val="en-CA"/>
        </w:rPr>
        <w:t>ontingent valuation method</w:t>
      </w:r>
      <w:r w:rsidR="009B09C3" w:rsidRPr="00E3513F">
        <w:rPr>
          <w:szCs w:val="28"/>
          <w:lang w:val="en-CA"/>
        </w:rPr>
        <w:t xml:space="preserve"> </w:t>
      </w:r>
      <w:r w:rsidR="00EE1FFD" w:rsidRPr="00E3513F">
        <w:rPr>
          <w:szCs w:val="28"/>
          <w:lang w:val="en-CA"/>
        </w:rPr>
        <w:t xml:space="preserve">placed a monetary value on </w:t>
      </w:r>
      <w:r w:rsidR="00AA72E2" w:rsidRPr="00E3513F">
        <w:rPr>
          <w:szCs w:val="28"/>
          <w:lang w:val="en-CA"/>
        </w:rPr>
        <w:t xml:space="preserve">the </w:t>
      </w:r>
      <w:r w:rsidR="009B09C3" w:rsidRPr="00E3513F">
        <w:rPr>
          <w:szCs w:val="28"/>
          <w:lang w:val="en-CA"/>
        </w:rPr>
        <w:t>q</w:t>
      </w:r>
      <w:r w:rsidR="00AA72E2" w:rsidRPr="00E3513F">
        <w:rPr>
          <w:szCs w:val="28"/>
          <w:lang w:val="en-CA"/>
        </w:rPr>
        <w:t xml:space="preserve">uality of life </w:t>
      </w:r>
      <w:r w:rsidR="00EE1FFD" w:rsidRPr="00E3513F">
        <w:rPr>
          <w:szCs w:val="28"/>
          <w:lang w:val="en-CA"/>
        </w:rPr>
        <w:t xml:space="preserve">changes </w:t>
      </w:r>
      <w:r w:rsidR="00AA72E2" w:rsidRPr="00E3513F">
        <w:rPr>
          <w:szCs w:val="28"/>
          <w:lang w:val="en-CA"/>
        </w:rPr>
        <w:t>trig</w:t>
      </w:r>
      <w:r w:rsidR="009B09C3" w:rsidRPr="00E3513F">
        <w:rPr>
          <w:szCs w:val="28"/>
          <w:lang w:val="en-CA"/>
        </w:rPr>
        <w:t>gered by the workplace accident</w:t>
      </w:r>
      <w:r w:rsidR="00EE1FFD" w:rsidRPr="00E3513F">
        <w:rPr>
          <w:szCs w:val="28"/>
          <w:lang w:val="en-CA"/>
        </w:rPr>
        <w:t>.</w:t>
      </w:r>
      <w:r w:rsidR="006A412B" w:rsidRPr="00E3513F">
        <w:rPr>
          <w:rStyle w:val="FootnoteReference"/>
          <w:szCs w:val="28"/>
          <w:lang w:val="en-CA"/>
        </w:rPr>
        <w:footnoteReference w:id="3"/>
      </w:r>
      <w:r w:rsidR="00EE1FFD" w:rsidRPr="00E3513F">
        <w:rPr>
          <w:szCs w:val="28"/>
          <w:lang w:val="en-CA"/>
        </w:rPr>
        <w:t xml:space="preserve">  </w:t>
      </w:r>
    </w:p>
    <w:p w:rsidR="00EE1FFD" w:rsidRPr="00C239D4" w:rsidRDefault="00EE1FFD">
      <w:pPr>
        <w:rPr>
          <w:sz w:val="28"/>
        </w:rPr>
      </w:pPr>
    </w:p>
    <w:p w:rsidR="00CC490A" w:rsidRPr="00C239D4" w:rsidRDefault="00CC490A">
      <w:pPr>
        <w:rPr>
          <w:rFonts w:ascii="Garamond" w:hAnsi="Garamond"/>
          <w:i/>
          <w:color w:val="000000"/>
          <w:szCs w:val="22"/>
          <w:shd w:val="clear" w:color="auto" w:fill="FFFFFF"/>
        </w:rPr>
      </w:pPr>
      <w:r w:rsidRPr="00C239D4">
        <w:rPr>
          <w:rFonts w:ascii="Garamond" w:hAnsi="Garamond"/>
          <w:i/>
          <w:sz w:val="28"/>
          <w:szCs w:val="22"/>
        </w:rPr>
        <w:t>JEL</w:t>
      </w:r>
      <w:r w:rsidR="00E22863" w:rsidRPr="00C239D4">
        <w:rPr>
          <w:rFonts w:ascii="Garamond" w:hAnsi="Garamond"/>
          <w:i/>
          <w:sz w:val="28"/>
          <w:szCs w:val="22"/>
        </w:rPr>
        <w:t>:</w:t>
      </w:r>
      <w:r w:rsidRPr="00C239D4">
        <w:rPr>
          <w:rFonts w:ascii="Garamond" w:hAnsi="Garamond"/>
          <w:i/>
          <w:sz w:val="28"/>
          <w:szCs w:val="22"/>
        </w:rPr>
        <w:t xml:space="preserve"> </w:t>
      </w:r>
      <w:r w:rsidRPr="00C239D4">
        <w:rPr>
          <w:rFonts w:ascii="Garamond" w:hAnsi="Garamond"/>
          <w:b/>
          <w:bCs/>
          <w:i/>
          <w:color w:val="000000"/>
          <w:sz w:val="28"/>
          <w:szCs w:val="22"/>
        </w:rPr>
        <w:t>J320</w:t>
      </w:r>
      <w:r w:rsidRPr="00C239D4">
        <w:rPr>
          <w:rStyle w:val="apple-converted-space"/>
          <w:rFonts w:ascii="Garamond" w:hAnsi="Garamond"/>
          <w:i/>
          <w:color w:val="000000"/>
          <w:sz w:val="28"/>
          <w:szCs w:val="22"/>
          <w:shd w:val="clear" w:color="auto" w:fill="FFFFFF"/>
        </w:rPr>
        <w:t> </w:t>
      </w:r>
      <w:r w:rsidRPr="00C239D4">
        <w:rPr>
          <w:rFonts w:ascii="Garamond" w:hAnsi="Garamond"/>
          <w:i/>
          <w:color w:val="000000"/>
          <w:sz w:val="28"/>
          <w:szCs w:val="22"/>
          <w:shd w:val="clear" w:color="auto" w:fill="FFFFFF"/>
        </w:rPr>
        <w:t xml:space="preserve">Nonwage Labor Costs and Benefits; Private Pensions, and </w:t>
      </w:r>
      <w:r w:rsidR="00E22863" w:rsidRPr="00C239D4">
        <w:rPr>
          <w:rFonts w:ascii="Garamond" w:hAnsi="Garamond"/>
          <w:b/>
          <w:i/>
          <w:color w:val="000000"/>
          <w:sz w:val="28"/>
          <w:szCs w:val="22"/>
          <w:shd w:val="clear" w:color="auto" w:fill="FFFFFF"/>
        </w:rPr>
        <w:t>I</w:t>
      </w:r>
      <w:r w:rsidRPr="00C239D4">
        <w:rPr>
          <w:rFonts w:ascii="Garamond" w:hAnsi="Garamond"/>
          <w:b/>
          <w:bCs/>
          <w:i/>
          <w:color w:val="000000"/>
          <w:sz w:val="28"/>
          <w:szCs w:val="22"/>
        </w:rPr>
        <w:t>380</w:t>
      </w:r>
      <w:r w:rsidR="00E22863" w:rsidRPr="00C239D4">
        <w:rPr>
          <w:rStyle w:val="apple-converted-space"/>
          <w:rFonts w:ascii="Garamond" w:hAnsi="Garamond"/>
          <w:i/>
          <w:color w:val="000000"/>
          <w:sz w:val="28"/>
          <w:szCs w:val="22"/>
          <w:shd w:val="clear" w:color="auto" w:fill="FFFFFF"/>
        </w:rPr>
        <w:t> Welfare</w:t>
      </w:r>
      <w:r w:rsidRPr="00C239D4">
        <w:rPr>
          <w:rFonts w:ascii="Garamond" w:hAnsi="Garamond"/>
          <w:i/>
          <w:color w:val="000000"/>
          <w:sz w:val="28"/>
          <w:szCs w:val="22"/>
          <w:shd w:val="clear" w:color="auto" w:fill="FFFFFF"/>
        </w:rPr>
        <w:t xml:space="preserve"> and Poverty: Government Programs; Provision and Effects of Welfare Programs</w:t>
      </w:r>
    </w:p>
    <w:p w:rsidR="00E22863" w:rsidRDefault="00E22863">
      <w:pPr>
        <w:rPr>
          <w:rFonts w:ascii="Verdana" w:hAnsi="Verdana"/>
          <w:i/>
          <w:color w:val="000000"/>
          <w:sz w:val="21"/>
          <w:szCs w:val="21"/>
          <w:shd w:val="clear" w:color="auto" w:fill="FFFFFF"/>
        </w:rPr>
      </w:pPr>
    </w:p>
    <w:p w:rsidR="00E22863" w:rsidRPr="00B714E1" w:rsidRDefault="00E22863">
      <w:pPr>
        <w:rPr>
          <w:rFonts w:ascii="Garamond" w:hAnsi="Garamond"/>
          <w:b/>
          <w:sz w:val="32"/>
        </w:rPr>
      </w:pPr>
      <w:r w:rsidRPr="00B714E1">
        <w:rPr>
          <w:rFonts w:ascii="Garamond" w:hAnsi="Garamond"/>
          <w:b/>
          <w:color w:val="000000"/>
          <w:sz w:val="28"/>
          <w:szCs w:val="21"/>
          <w:shd w:val="clear" w:color="auto" w:fill="FFFFFF"/>
        </w:rPr>
        <w:t>Introduction</w:t>
      </w:r>
      <w:r w:rsidRPr="00B714E1">
        <w:rPr>
          <w:rFonts w:ascii="Garamond" w:hAnsi="Garamond"/>
          <w:b/>
          <w:color w:val="000000"/>
          <w:szCs w:val="21"/>
          <w:shd w:val="clear" w:color="auto" w:fill="FFFFFF"/>
        </w:rPr>
        <w:t xml:space="preserve"> </w:t>
      </w:r>
    </w:p>
    <w:p w:rsidR="00B714E1" w:rsidRDefault="00B714E1">
      <w:pPr>
        <w:rPr>
          <w:rFonts w:ascii="Garamond" w:hAnsi="Garamond"/>
          <w:sz w:val="32"/>
        </w:rPr>
      </w:pPr>
    </w:p>
    <w:p w:rsidR="00B714E1" w:rsidRPr="00416B71" w:rsidRDefault="00B714E1" w:rsidP="00B714E1">
      <w:pPr>
        <w:spacing w:after="240"/>
        <w:rPr>
          <w:rFonts w:ascii="Garamond" w:eastAsiaTheme="minorHAnsi" w:hAnsi="Garamond"/>
          <w:lang w:val="en-CA"/>
        </w:rPr>
      </w:pPr>
      <w:r w:rsidRPr="00416B71">
        <w:rPr>
          <w:rFonts w:ascii="Garamond" w:eastAsiaTheme="minorHAnsi" w:hAnsi="Garamond"/>
          <w:lang w:val="en-CA"/>
        </w:rPr>
        <w:t xml:space="preserve">Workplace injuries are on the decline in Manitoba, but at </w:t>
      </w:r>
      <w:proofErr w:type="gramStart"/>
      <w:r w:rsidRPr="00416B71">
        <w:rPr>
          <w:rFonts w:ascii="Garamond" w:eastAsiaTheme="minorHAnsi" w:hAnsi="Garamond"/>
          <w:lang w:val="en-CA"/>
        </w:rPr>
        <w:t>15,052 time</w:t>
      </w:r>
      <w:proofErr w:type="gramEnd"/>
      <w:r w:rsidRPr="00416B71">
        <w:rPr>
          <w:rFonts w:ascii="Garamond" w:eastAsiaTheme="minorHAnsi" w:hAnsi="Garamond"/>
          <w:lang w:val="en-CA"/>
        </w:rPr>
        <w:t xml:space="preserve"> loss injuries and 15,150 non-time loss injuries in 2014, they still represent an important loss to the economy</w:t>
      </w:r>
      <w:r w:rsidR="0056495C" w:rsidRPr="00416B71">
        <w:rPr>
          <w:rFonts w:ascii="Garamond" w:eastAsiaTheme="minorHAnsi" w:hAnsi="Garamond"/>
          <w:lang w:val="en-CA"/>
        </w:rPr>
        <w:t xml:space="preserve"> as well as individual workers and their families.</w:t>
      </w:r>
      <w:r w:rsidRPr="00416B71">
        <w:rPr>
          <w:rFonts w:ascii="Garamond" w:eastAsiaTheme="minorHAnsi" w:hAnsi="Garamond"/>
          <w:lang w:val="en-CA"/>
        </w:rPr>
        <w:t xml:space="preserve"> This study offers a view into the nature and extent of the costs of workplace </w:t>
      </w:r>
      <w:r w:rsidR="00E5737C">
        <w:rPr>
          <w:rFonts w:ascii="Garamond" w:eastAsiaTheme="minorHAnsi" w:hAnsi="Garamond"/>
          <w:lang w:val="en-CA"/>
        </w:rPr>
        <w:t xml:space="preserve">incidents resulting in </w:t>
      </w:r>
      <w:proofErr w:type="gramStart"/>
      <w:r w:rsidR="00E5737C">
        <w:rPr>
          <w:rFonts w:ascii="Garamond" w:eastAsiaTheme="minorHAnsi" w:hAnsi="Garamond"/>
          <w:lang w:val="en-CA"/>
        </w:rPr>
        <w:t xml:space="preserve">injury </w:t>
      </w:r>
      <w:r w:rsidRPr="00416B71">
        <w:rPr>
          <w:rFonts w:ascii="Garamond" w:eastAsiaTheme="minorHAnsi" w:hAnsi="Garamond"/>
          <w:lang w:val="en-CA"/>
        </w:rPr>
        <w:t xml:space="preserve"> in</w:t>
      </w:r>
      <w:proofErr w:type="gramEnd"/>
      <w:r w:rsidRPr="00416B71">
        <w:rPr>
          <w:rFonts w:ascii="Garamond" w:eastAsiaTheme="minorHAnsi" w:hAnsi="Garamond"/>
          <w:lang w:val="en-CA"/>
        </w:rPr>
        <w:t xml:space="preserve"> Manitoba. Comparatively few Canadian studies exist to estimate the full cost of workplace accidents, and in the course of this research, we did not find any Manitoban studies. The contribution this research attempts to make is to estimate the non-financial and indirect costs associated with workplace accidents. </w:t>
      </w:r>
    </w:p>
    <w:p w:rsidR="00B714E1" w:rsidRPr="00416B71" w:rsidRDefault="00B714E1" w:rsidP="00B714E1">
      <w:pPr>
        <w:spacing w:after="240"/>
        <w:rPr>
          <w:rFonts w:ascii="Garamond" w:eastAsiaTheme="minorHAnsi" w:hAnsi="Garamond"/>
          <w:lang w:val="en-CA"/>
        </w:rPr>
      </w:pPr>
      <w:r w:rsidRPr="00416B71">
        <w:rPr>
          <w:rFonts w:ascii="Garamond" w:eastAsiaTheme="minorHAnsi" w:hAnsi="Garamond"/>
          <w:lang w:val="en-CA"/>
        </w:rPr>
        <w:t xml:space="preserve">This </w:t>
      </w:r>
      <w:r w:rsidR="00416B71">
        <w:rPr>
          <w:rFonts w:ascii="Garamond" w:eastAsiaTheme="minorHAnsi" w:hAnsi="Garamond"/>
          <w:lang w:val="en-CA"/>
        </w:rPr>
        <w:t xml:space="preserve">paper </w:t>
      </w:r>
      <w:r w:rsidRPr="00416B71">
        <w:rPr>
          <w:rFonts w:ascii="Garamond" w:eastAsiaTheme="minorHAnsi" w:hAnsi="Garamond"/>
          <w:lang w:val="en-CA"/>
        </w:rPr>
        <w:t xml:space="preserve">attempts to add the following important insights to the existing literature: </w:t>
      </w:r>
    </w:p>
    <w:p w:rsidR="00B714E1" w:rsidRPr="00416B71" w:rsidRDefault="00B714E1" w:rsidP="00B714E1">
      <w:pPr>
        <w:numPr>
          <w:ilvl w:val="0"/>
          <w:numId w:val="12"/>
        </w:numPr>
        <w:spacing w:after="240"/>
        <w:rPr>
          <w:rFonts w:ascii="Garamond" w:eastAsiaTheme="minorHAnsi" w:hAnsi="Garamond"/>
          <w:szCs w:val="22"/>
          <w:lang w:val="en-CA"/>
        </w:rPr>
      </w:pPr>
      <w:r w:rsidRPr="00416B71">
        <w:rPr>
          <w:rFonts w:ascii="Garamond" w:eastAsiaTheme="minorHAnsi" w:hAnsi="Garamond"/>
          <w:szCs w:val="22"/>
          <w:lang w:val="en-CA"/>
        </w:rPr>
        <w:lastRenderedPageBreak/>
        <w:t xml:space="preserve">By including a “significant other” (secondary respondent) </w:t>
      </w:r>
      <w:r w:rsidR="006665E8" w:rsidRPr="00416B71">
        <w:rPr>
          <w:rFonts w:ascii="Garamond" w:eastAsiaTheme="minorHAnsi" w:hAnsi="Garamond"/>
          <w:szCs w:val="22"/>
          <w:lang w:val="en-CA"/>
        </w:rPr>
        <w:t xml:space="preserve">who is the caregiver/carer </w:t>
      </w:r>
      <w:r w:rsidRPr="00416B71">
        <w:rPr>
          <w:rFonts w:ascii="Garamond" w:eastAsiaTheme="minorHAnsi" w:hAnsi="Garamond"/>
          <w:szCs w:val="22"/>
          <w:lang w:val="en-CA"/>
        </w:rPr>
        <w:t xml:space="preserve">in the analysis, we expect to identify a range of family and personal costs that may not be reported by the injured worker (primary respondent). </w:t>
      </w:r>
      <w:r w:rsidR="006665E8" w:rsidRPr="00416B71">
        <w:rPr>
          <w:rFonts w:ascii="Garamond" w:eastAsiaTheme="minorHAnsi" w:hAnsi="Garamond"/>
          <w:szCs w:val="22"/>
          <w:lang w:val="en-CA"/>
        </w:rPr>
        <w:t>We also expect differences in the valuations of the economic impact of the accident.</w:t>
      </w:r>
    </w:p>
    <w:p w:rsidR="00416B71" w:rsidRDefault="00416B71" w:rsidP="00B714E1">
      <w:pPr>
        <w:numPr>
          <w:ilvl w:val="0"/>
          <w:numId w:val="12"/>
        </w:numPr>
        <w:spacing w:after="240"/>
        <w:rPr>
          <w:rFonts w:ascii="Garamond" w:eastAsiaTheme="minorHAnsi" w:hAnsi="Garamond"/>
          <w:szCs w:val="22"/>
          <w:lang w:val="en-CA"/>
        </w:rPr>
      </w:pPr>
      <w:r w:rsidRPr="00416B71">
        <w:rPr>
          <w:rFonts w:ascii="Garamond" w:eastAsiaTheme="minorHAnsi" w:hAnsi="Garamond"/>
          <w:szCs w:val="22"/>
          <w:lang w:val="en-CA"/>
        </w:rPr>
        <w:t>We use survey-based (telephone) contingent valuation stated choice methods to estimate the non-financial economic value of the change in the quality of life triggered by the workplace accident</w:t>
      </w:r>
      <w:r w:rsidR="004631CA">
        <w:rPr>
          <w:rFonts w:ascii="Garamond" w:eastAsiaTheme="minorHAnsi" w:hAnsi="Garamond"/>
          <w:szCs w:val="22"/>
          <w:lang w:val="en-CA"/>
        </w:rPr>
        <w:t>.</w:t>
      </w:r>
    </w:p>
    <w:p w:rsidR="00416B71" w:rsidRPr="00416B71" w:rsidRDefault="00B714E1" w:rsidP="00B714E1">
      <w:pPr>
        <w:numPr>
          <w:ilvl w:val="0"/>
          <w:numId w:val="12"/>
        </w:numPr>
        <w:autoSpaceDE w:val="0"/>
        <w:autoSpaceDN w:val="0"/>
        <w:adjustRightInd w:val="0"/>
        <w:spacing w:after="240"/>
        <w:rPr>
          <w:rFonts w:ascii="Garamond" w:eastAsiaTheme="minorHAnsi" w:hAnsi="Garamond"/>
          <w:color w:val="000000"/>
          <w:lang w:val="en-CA"/>
        </w:rPr>
      </w:pPr>
      <w:r w:rsidRPr="00416B71">
        <w:rPr>
          <w:rFonts w:ascii="Garamond" w:eastAsiaTheme="minorHAnsi" w:hAnsi="Garamond"/>
          <w:szCs w:val="22"/>
          <w:lang w:val="en-CA"/>
        </w:rPr>
        <w:t>In addition to quantitative data (surveys of primary and secondary respondent</w:t>
      </w:r>
      <w:r w:rsidR="00140531">
        <w:rPr>
          <w:rFonts w:ascii="Garamond" w:eastAsiaTheme="minorHAnsi" w:hAnsi="Garamond"/>
          <w:szCs w:val="22"/>
          <w:lang w:val="en-CA"/>
        </w:rPr>
        <w:t xml:space="preserve">s linked to administrative data, </w:t>
      </w:r>
      <w:r w:rsidR="00140531" w:rsidRPr="00416B71">
        <w:rPr>
          <w:rFonts w:ascii="Garamond" w:eastAsiaTheme="minorHAnsi" w:hAnsi="Garamond"/>
          <w:szCs w:val="22"/>
          <w:lang w:val="en-CA"/>
        </w:rPr>
        <w:t>qualitative</w:t>
      </w:r>
      <w:r w:rsidRPr="00416B71">
        <w:rPr>
          <w:rFonts w:ascii="Garamond" w:eastAsiaTheme="minorHAnsi" w:hAnsi="Garamond"/>
          <w:szCs w:val="22"/>
          <w:lang w:val="en-CA"/>
        </w:rPr>
        <w:t xml:space="preserve"> research using dyadic interviews (interviews with the primary and secondary respondents)</w:t>
      </w:r>
      <w:r w:rsidR="00140531">
        <w:rPr>
          <w:rFonts w:ascii="Garamond" w:eastAsiaTheme="minorHAnsi" w:hAnsi="Garamond"/>
          <w:szCs w:val="22"/>
          <w:lang w:val="en-CA"/>
        </w:rPr>
        <w:t xml:space="preserve"> explored the etiology and </w:t>
      </w:r>
      <w:proofErr w:type="spellStart"/>
      <w:r w:rsidR="00140531">
        <w:rPr>
          <w:rFonts w:ascii="Garamond" w:eastAsiaTheme="minorHAnsi" w:hAnsi="Garamond"/>
          <w:szCs w:val="22"/>
          <w:lang w:val="en-CA"/>
        </w:rPr>
        <w:t>sequalae</w:t>
      </w:r>
      <w:proofErr w:type="spellEnd"/>
      <w:r w:rsidR="00140531">
        <w:rPr>
          <w:rFonts w:ascii="Garamond" w:eastAsiaTheme="minorHAnsi" w:hAnsi="Garamond"/>
          <w:szCs w:val="22"/>
          <w:lang w:val="en-CA"/>
        </w:rPr>
        <w:t xml:space="preserve"> of workplace accidents.</w:t>
      </w:r>
    </w:p>
    <w:p w:rsidR="00B714E1" w:rsidRPr="00416B71" w:rsidRDefault="00B714E1" w:rsidP="00416B71">
      <w:pPr>
        <w:autoSpaceDE w:val="0"/>
        <w:autoSpaceDN w:val="0"/>
        <w:adjustRightInd w:val="0"/>
        <w:spacing w:after="240"/>
        <w:rPr>
          <w:rFonts w:ascii="Garamond" w:eastAsiaTheme="minorHAnsi" w:hAnsi="Garamond"/>
          <w:color w:val="000000"/>
          <w:lang w:val="en-CA"/>
        </w:rPr>
      </w:pPr>
      <w:r w:rsidRPr="00416B71">
        <w:rPr>
          <w:rFonts w:ascii="Garamond" w:eastAsiaTheme="minorHAnsi" w:hAnsi="Garamond"/>
          <w:color w:val="000000"/>
          <w:lang w:val="en-CA"/>
        </w:rPr>
        <w:t xml:space="preserve">The theoretical framework rests on standard economic theory, with important augmentation from qualitative research (the use of dyads to increase insight into important elements of full cost) and the use of </w:t>
      </w:r>
      <w:r w:rsidR="00416B71">
        <w:rPr>
          <w:rFonts w:ascii="Garamond" w:eastAsiaTheme="minorHAnsi" w:hAnsi="Garamond"/>
          <w:color w:val="000000"/>
          <w:lang w:val="en-CA"/>
        </w:rPr>
        <w:t xml:space="preserve">discrete choice modelling in the form of contingent </w:t>
      </w:r>
      <w:r w:rsidRPr="00416B71">
        <w:rPr>
          <w:rFonts w:ascii="Garamond" w:eastAsiaTheme="minorHAnsi" w:hAnsi="Garamond"/>
          <w:color w:val="000000"/>
          <w:lang w:val="en-CA"/>
        </w:rPr>
        <w:t>valuation method</w:t>
      </w:r>
      <w:r w:rsidR="00416B71">
        <w:rPr>
          <w:rFonts w:ascii="Garamond" w:eastAsiaTheme="minorHAnsi" w:hAnsi="Garamond"/>
          <w:color w:val="000000"/>
          <w:lang w:val="en-CA"/>
        </w:rPr>
        <w:t>ology</w:t>
      </w:r>
      <w:r w:rsidRPr="00416B71">
        <w:rPr>
          <w:rFonts w:ascii="Garamond" w:eastAsiaTheme="minorHAnsi" w:hAnsi="Garamond"/>
          <w:color w:val="000000"/>
          <w:lang w:val="en-CA"/>
        </w:rPr>
        <w:t xml:space="preserve">. </w:t>
      </w:r>
    </w:p>
    <w:p w:rsidR="00B714E1" w:rsidRPr="00416B71" w:rsidRDefault="00B714E1" w:rsidP="00B714E1">
      <w:pPr>
        <w:autoSpaceDE w:val="0"/>
        <w:autoSpaceDN w:val="0"/>
        <w:adjustRightInd w:val="0"/>
        <w:spacing w:after="240"/>
        <w:rPr>
          <w:rFonts w:ascii="Garamond" w:eastAsiaTheme="minorHAnsi" w:hAnsi="Garamond"/>
          <w:color w:val="000000"/>
          <w:lang w:val="en-CA"/>
        </w:rPr>
      </w:pPr>
      <w:r w:rsidRPr="00416B71">
        <w:rPr>
          <w:rFonts w:ascii="Garamond" w:eastAsiaTheme="minorHAnsi" w:hAnsi="Garamond"/>
          <w:color w:val="000000"/>
          <w:lang w:val="en-CA"/>
        </w:rPr>
        <w:t>Aside from providing estimates of the cost</w:t>
      </w:r>
      <w:r w:rsidR="004631CA">
        <w:rPr>
          <w:rFonts w:ascii="Garamond" w:eastAsiaTheme="minorHAnsi" w:hAnsi="Garamond"/>
          <w:color w:val="000000"/>
          <w:lang w:val="en-CA"/>
        </w:rPr>
        <w:t>s</w:t>
      </w:r>
      <w:r w:rsidRPr="00416B71">
        <w:rPr>
          <w:rFonts w:ascii="Garamond" w:eastAsiaTheme="minorHAnsi" w:hAnsi="Garamond"/>
          <w:color w:val="000000"/>
          <w:lang w:val="en-CA"/>
        </w:rPr>
        <w:t xml:space="preserve"> </w:t>
      </w:r>
      <w:r w:rsidR="004631CA">
        <w:rPr>
          <w:rFonts w:ascii="Garamond" w:eastAsiaTheme="minorHAnsi" w:hAnsi="Garamond"/>
          <w:color w:val="000000"/>
          <w:lang w:val="en-CA"/>
        </w:rPr>
        <w:t>of</w:t>
      </w:r>
      <w:r w:rsidRPr="00416B71">
        <w:rPr>
          <w:rFonts w:ascii="Garamond" w:eastAsiaTheme="minorHAnsi" w:hAnsi="Garamond"/>
          <w:color w:val="000000"/>
          <w:lang w:val="en-CA"/>
        </w:rPr>
        <w:t xml:space="preserve"> workplace accidents for Manitoba, this </w:t>
      </w:r>
      <w:r w:rsidR="00416B71" w:rsidRPr="00416B71">
        <w:rPr>
          <w:rFonts w:ascii="Garamond" w:eastAsiaTheme="minorHAnsi" w:hAnsi="Garamond"/>
          <w:color w:val="000000"/>
          <w:lang w:val="en-CA"/>
        </w:rPr>
        <w:t>research</w:t>
      </w:r>
      <w:r w:rsidRPr="00416B71">
        <w:rPr>
          <w:rFonts w:ascii="Garamond" w:eastAsiaTheme="minorHAnsi" w:hAnsi="Garamond"/>
          <w:color w:val="000000"/>
          <w:lang w:val="en-CA"/>
        </w:rPr>
        <w:t xml:space="preserve"> also endeavour</w:t>
      </w:r>
      <w:r w:rsidR="00416B71">
        <w:rPr>
          <w:rFonts w:ascii="Garamond" w:eastAsiaTheme="minorHAnsi" w:hAnsi="Garamond"/>
          <w:color w:val="000000"/>
          <w:lang w:val="en-CA"/>
        </w:rPr>
        <w:t>s</w:t>
      </w:r>
      <w:r w:rsidRPr="00416B71">
        <w:rPr>
          <w:rFonts w:ascii="Garamond" w:eastAsiaTheme="minorHAnsi" w:hAnsi="Garamond"/>
          <w:color w:val="000000"/>
          <w:lang w:val="en-CA"/>
        </w:rPr>
        <w:t xml:space="preserve"> to deepen the understanding of economic and social costs incurred by employers (loss of skilled trades), employees, and immediate families. Many of the current estimates of cost use macro-level statistics. In this research, we wish to collect micro data at the individual incident level, using survey information linked to the administrative data. </w:t>
      </w:r>
    </w:p>
    <w:p w:rsidR="00B714E1" w:rsidRPr="00C239D4" w:rsidRDefault="00B714E1" w:rsidP="00B714E1">
      <w:pPr>
        <w:autoSpaceDE w:val="0"/>
        <w:autoSpaceDN w:val="0"/>
        <w:adjustRightInd w:val="0"/>
        <w:spacing w:after="240"/>
        <w:rPr>
          <w:rFonts w:ascii="Garamond" w:eastAsiaTheme="minorHAnsi" w:hAnsi="Garamond"/>
          <w:color w:val="000000"/>
          <w:sz w:val="28"/>
          <w:lang w:val="en-CA"/>
        </w:rPr>
      </w:pPr>
      <w:r w:rsidRPr="00416B71">
        <w:rPr>
          <w:rFonts w:ascii="Garamond" w:eastAsiaTheme="minorHAnsi" w:hAnsi="Garamond"/>
          <w:color w:val="000000"/>
          <w:lang w:val="en-CA"/>
        </w:rPr>
        <w:t xml:space="preserve">Specifically, we will use survey data (from the employees and immediate family members, such as a spouse, parents, or children) linked to Workers Compensation Board (WCB) administrative data, to develop micro </w:t>
      </w:r>
      <w:r w:rsidRPr="004631CA">
        <w:rPr>
          <w:rFonts w:ascii="Garamond" w:eastAsiaTheme="minorHAnsi" w:hAnsi="Garamond"/>
          <w:color w:val="000000"/>
          <w:lang w:val="en-CA"/>
        </w:rPr>
        <w:t xml:space="preserve">information that will support an estimation of the full social and economic costs of the accident. In addition to </w:t>
      </w:r>
      <w:r w:rsidRPr="00D64264">
        <w:rPr>
          <w:rFonts w:ascii="Garamond" w:eastAsiaTheme="minorHAnsi" w:hAnsi="Garamond"/>
          <w:color w:val="000000"/>
          <w:lang w:val="en-CA"/>
        </w:rPr>
        <w:t>quantitative measures of cost/impact, we will also complete qualitative research (, dyads,) to deepen the insights into the social and family impacts of the accident, in addition to the impact on businesses.</w:t>
      </w:r>
    </w:p>
    <w:p w:rsidR="00921602" w:rsidRPr="00C239D4" w:rsidRDefault="00921602" w:rsidP="00921602">
      <w:pPr>
        <w:keepNext/>
        <w:keepLines/>
        <w:spacing w:before="360" w:after="240"/>
        <w:outlineLvl w:val="1"/>
        <w:rPr>
          <w:rFonts w:ascii="Garamond" w:eastAsiaTheme="majorEastAsia" w:hAnsi="Garamond" w:cs="Arial"/>
          <w:b/>
          <w:bCs/>
          <w:sz w:val="32"/>
          <w:szCs w:val="26"/>
          <w:lang w:val="en-CA"/>
        </w:rPr>
      </w:pPr>
      <w:bookmarkStart w:id="1" w:name="_Toc418509531"/>
      <w:bookmarkStart w:id="2" w:name="_Toc418855635"/>
      <w:r w:rsidRPr="00C239D4">
        <w:rPr>
          <w:rFonts w:ascii="Garamond" w:eastAsiaTheme="majorEastAsia" w:hAnsi="Garamond" w:cs="Arial"/>
          <w:b/>
          <w:bCs/>
          <w:sz w:val="32"/>
          <w:szCs w:val="26"/>
          <w:lang w:val="en-CA"/>
        </w:rPr>
        <w:t>Conceptual foundation to the economic cost of accidents</w:t>
      </w:r>
      <w:bookmarkEnd w:id="1"/>
      <w:bookmarkEnd w:id="2"/>
    </w:p>
    <w:p w:rsidR="00921602" w:rsidRPr="00416B71" w:rsidRDefault="00921602" w:rsidP="00921602">
      <w:pPr>
        <w:spacing w:after="240"/>
        <w:rPr>
          <w:rFonts w:ascii="Garamond" w:hAnsi="Garamond"/>
          <w:lang w:val="en-CA"/>
        </w:rPr>
      </w:pPr>
      <w:r w:rsidRPr="00416B71">
        <w:rPr>
          <w:rFonts w:ascii="Garamond" w:hAnsi="Garamond"/>
          <w:lang w:val="en-CA"/>
        </w:rPr>
        <w:t xml:space="preserve">A long literature exists on estimating the costs of workplace injury and accidents. Representative studies either treat the costs associated with accidents in a specific sector </w:t>
      </w:r>
      <w:r w:rsidRPr="00416B71">
        <w:rPr>
          <w:rFonts w:ascii="Garamond" w:hAnsi="Garamond"/>
          <w:lang w:val="en-CA"/>
        </w:rPr>
        <w:fldChar w:fldCharType="begin"/>
      </w:r>
      <w:r w:rsidR="00AA1BC1" w:rsidRPr="00416B71">
        <w:rPr>
          <w:rFonts w:ascii="Garamond" w:hAnsi="Garamond"/>
          <w:lang w:val="en-CA"/>
        </w:rPr>
        <w:instrText xml:space="preserve"> ADDIN ZOTERO_ITEM CSL_CITATION {"citationID":"R7oTan8b","properties":{"formattedCitation":"(Camm,T. &amp; Girard-Dwyer, J, 2005)","plainCitation":"(Camm,T. &amp; Girard-Dwyer, J, 2005)"},"citationItems":[{"id":84,"uris":["http://zotero.org/users/2456724/items/UWSDHJ4W"],"uri":["http://zotero.org/users/2456724/items/UWSDHJ4W"],"itemData":{"id":84,"type":"article-journal","title":"Economic Consequences of Mining Injuries","container-title":"Mining Engineering","page":"89–92","volume":"57","issue":"9","source":"Google Scholar","author":[{"family":"Camm,T.","given":"T."},{"family":"Girard-Dwyer, J","given":"undefined"}],"issued":{"date-parts":[["2005"]]},"accessed":{"date-parts":[["2015",5,2]]}}}],"schema":"https://github.com/citation-style-language/schema/raw/master/csl-citation.json"} </w:instrText>
      </w:r>
      <w:r w:rsidRPr="00416B71">
        <w:rPr>
          <w:rFonts w:ascii="Garamond" w:hAnsi="Garamond"/>
          <w:lang w:val="en-CA"/>
        </w:rPr>
        <w:fldChar w:fldCharType="separate"/>
      </w:r>
      <w:r w:rsidRPr="00416B71">
        <w:rPr>
          <w:rFonts w:ascii="Garamond" w:hAnsi="Garamond"/>
          <w:lang w:val="en-CA"/>
        </w:rPr>
        <w:t>(Camm,T. &amp; Girard-Dwyer, J, 2005)</w:t>
      </w:r>
      <w:r w:rsidRPr="00416B71">
        <w:rPr>
          <w:rFonts w:ascii="Garamond" w:hAnsi="Garamond"/>
          <w:lang w:val="en-CA"/>
        </w:rPr>
        <w:fldChar w:fldCharType="end"/>
      </w:r>
      <w:r w:rsidRPr="00416B71">
        <w:rPr>
          <w:rFonts w:ascii="Garamond" w:hAnsi="Garamond"/>
          <w:lang w:val="en-CA"/>
        </w:rPr>
        <w:t xml:space="preserve"> or attempt to present an economy wide measure of cost </w:t>
      </w:r>
      <w:r w:rsidRPr="00416B71">
        <w:rPr>
          <w:rFonts w:ascii="Garamond" w:hAnsi="Garamond"/>
          <w:lang w:val="en-CA"/>
        </w:rPr>
        <w:fldChar w:fldCharType="begin"/>
      </w:r>
      <w:r w:rsidR="00AA1BC1" w:rsidRPr="00416B71">
        <w:rPr>
          <w:rFonts w:ascii="Garamond" w:hAnsi="Garamond"/>
          <w:lang w:val="en-CA"/>
        </w:rPr>
        <w:instrText xml:space="preserve"> ADDIN ZOTERO_ITEM CSL_CITATION {"citationID":"uDbGAwmx","properties":{"formattedCitation":"(Leigh, J-P., 2011)","plainCitation":"(Leigh, J-P., 2011)"},"citationItems":[{"id":83,"uris":["http://zotero.org/users/2456724/items/KQU5E9F6"],"uri":["http://zotero.org/users/2456724/items/KQU5E9F6"],"itemData":{"id":83,"type":"article-journal","title":"Economic Burden of Occupational Injury and Illness in the United States","container-title":"Milbank Quarterly","page":"728–772","volume":"89","issue":"4","source":"Google Scholar","author":[{"family":"Leigh, J-P.","given":""}],"issued":{"date-parts":[["2011"]]},"accessed":{"date-parts":[["2015",5,2]]}}}],"schema":"https://github.com/citation-style-language/schema/raw/master/csl-citation.json"} </w:instrText>
      </w:r>
      <w:r w:rsidRPr="00416B71">
        <w:rPr>
          <w:rFonts w:ascii="Garamond" w:hAnsi="Garamond"/>
          <w:lang w:val="en-CA"/>
        </w:rPr>
        <w:fldChar w:fldCharType="separate"/>
      </w:r>
      <w:r w:rsidRPr="00416B71">
        <w:rPr>
          <w:rFonts w:ascii="Garamond" w:hAnsi="Garamond"/>
          <w:lang w:val="en-CA"/>
        </w:rPr>
        <w:t>(Leigh, J-P., 2011)</w:t>
      </w:r>
      <w:r w:rsidRPr="00416B71">
        <w:rPr>
          <w:rFonts w:ascii="Garamond" w:hAnsi="Garamond"/>
          <w:lang w:val="en-CA"/>
        </w:rPr>
        <w:fldChar w:fldCharType="end"/>
      </w:r>
      <w:r w:rsidRPr="00416B71">
        <w:rPr>
          <w:rFonts w:ascii="Garamond" w:hAnsi="Garamond"/>
          <w:lang w:val="en-CA"/>
        </w:rPr>
        <w:t>. Conceptually, the idea of economic costs seems straightforward — it is the lost wages and compensation paid. In fact, the concepts are more complex, with elements that are not mutually exclusive. As a start, it is important to distinguish the financial and the economic costs.</w:t>
      </w:r>
      <w:r w:rsidR="00E5737C">
        <w:rPr>
          <w:rFonts w:ascii="Garamond" w:hAnsi="Garamond"/>
          <w:lang w:val="en-CA"/>
        </w:rPr>
        <w:t xml:space="preserve"> The financial costs, most commonly used as the estimate of the economic costs of workplace injuries, comprise the compensation paid by insurers, as well as the </w:t>
      </w:r>
      <w:proofErr w:type="spellStart"/>
      <w:r w:rsidR="00E5737C">
        <w:rPr>
          <w:rFonts w:ascii="Garamond" w:hAnsi="Garamond"/>
          <w:lang w:val="en-CA"/>
        </w:rPr>
        <w:t>out-of</w:t>
      </w:r>
      <w:proofErr w:type="spellEnd"/>
      <w:r w:rsidR="00E5737C">
        <w:rPr>
          <w:rFonts w:ascii="Garamond" w:hAnsi="Garamond"/>
          <w:lang w:val="en-CA"/>
        </w:rPr>
        <w:t xml:space="preserve"> pocket expenses incurred by the workers and their </w:t>
      </w:r>
      <w:proofErr w:type="spellStart"/>
      <w:r w:rsidR="00E5737C">
        <w:rPr>
          <w:rFonts w:ascii="Garamond" w:hAnsi="Garamond"/>
          <w:lang w:val="en-CA"/>
        </w:rPr>
        <w:t>families.</w:t>
      </w:r>
      <w:r w:rsidRPr="00416B71">
        <w:rPr>
          <w:rFonts w:ascii="Garamond" w:hAnsi="Garamond"/>
          <w:lang w:val="en-CA"/>
        </w:rPr>
        <w:t>Workplace</w:t>
      </w:r>
      <w:proofErr w:type="spellEnd"/>
      <w:r w:rsidRPr="00416B71">
        <w:rPr>
          <w:rFonts w:ascii="Garamond" w:hAnsi="Garamond"/>
          <w:lang w:val="en-CA"/>
        </w:rPr>
        <w:t xml:space="preserve"> accidents are commonly identified as having direct and indirect costs </w:t>
      </w:r>
      <w:r w:rsidRPr="00416B71">
        <w:rPr>
          <w:rFonts w:ascii="Garamond" w:hAnsi="Garamond"/>
          <w:lang w:val="en-CA"/>
        </w:rPr>
        <w:fldChar w:fldCharType="begin"/>
      </w:r>
      <w:r w:rsidRPr="00416B71">
        <w:rPr>
          <w:rFonts w:ascii="Garamond" w:hAnsi="Garamond"/>
          <w:lang w:val="en-CA"/>
        </w:rPr>
        <w:instrText xml:space="preserve"> ADDIN ZOTERO_ITEM CSL_CITATION {"citationID":"ZIGsvpl3","properties":{"formattedCitation":"(OSHA, n.d.)","plainCitation":"(OSHA, n.d.)"},"citationItems":[{"id":137,"uris":["http://zotero.org/users/2456724/items/7S962KID"],"uri":["http://zotero.org/users/2456724/items/7S962KID"],"itemData":{"id":137,"type":"webpage","title":"Safety and Health Management Systems Etool | Module 1 - Safety and Health Payoffs - Costs of Accidents","URL":"https://www.osha.gov/SLTC/etools/safetyhealth/mod1_costs.html","author":[{"family":"OSHA","given":""}],"accessed":{"date-parts":[["2015",5,3]]}}}],"schema":"https://github.com/citation-style-language/schema/raw/master/csl-citation.json"} </w:instrText>
      </w:r>
      <w:r w:rsidRPr="00416B71">
        <w:rPr>
          <w:rFonts w:ascii="Garamond" w:hAnsi="Garamond"/>
          <w:lang w:val="en-CA"/>
        </w:rPr>
        <w:fldChar w:fldCharType="separate"/>
      </w:r>
      <w:r w:rsidRPr="00416B71">
        <w:rPr>
          <w:rFonts w:ascii="Garamond" w:hAnsi="Garamond"/>
          <w:lang w:val="en-CA"/>
        </w:rPr>
        <w:t>(OSHA, n.d.)</w:t>
      </w:r>
      <w:r w:rsidRPr="00416B71">
        <w:rPr>
          <w:rFonts w:ascii="Garamond" w:hAnsi="Garamond"/>
          <w:lang w:val="en-CA"/>
        </w:rPr>
        <w:fldChar w:fldCharType="end"/>
      </w:r>
      <w:r w:rsidRPr="00416B71">
        <w:rPr>
          <w:rFonts w:ascii="Garamond" w:hAnsi="Garamond"/>
          <w:lang w:val="en-CA"/>
        </w:rPr>
        <w:t xml:space="preserve"> and </w:t>
      </w:r>
      <w:r w:rsidRPr="00416B71">
        <w:rPr>
          <w:rFonts w:ascii="Garamond" w:hAnsi="Garamond"/>
          <w:lang w:val="en-CA"/>
        </w:rPr>
        <w:fldChar w:fldCharType="begin"/>
      </w:r>
      <w:r w:rsidRPr="00416B71">
        <w:rPr>
          <w:rFonts w:ascii="Garamond" w:hAnsi="Garamond"/>
          <w:lang w:val="en-CA"/>
        </w:rPr>
        <w:instrText xml:space="preserve"> ADDIN ZOTERO_ITEM CSL_CITATION {"citationID":"9JHb8TJP","properties":{"formattedCitation":"(American Society of Safety Engineers, n.d.)","plainCitation":"(American Society of Safety Engineers, n.d.)"},"citationItems":[{"id":139,"uris":["http://zotero.org/users/2456724/items/CIU8UP5W"],"uri":["http://zotero.org/users/2456724/items/CIU8UP5W"],"itemData":{"id":139,"type":"webpage","title":"Impact of Accident Costs on Businesses | American Society of Safety Engineers","URL":"http://www.asse.org/professionalaffairs/career-res/impact-of-accident-costs-on-businesses/","author":[{"family":"American Society of Safety Engineers","given":""}],"accessed":{"date-parts":[["2015",5,3]]}}}],"schema":"https://github.com/citation-style-language/schema/raw/master/csl-citation.json"} </w:instrText>
      </w:r>
      <w:r w:rsidRPr="00416B71">
        <w:rPr>
          <w:rFonts w:ascii="Garamond" w:hAnsi="Garamond"/>
          <w:lang w:val="en-CA"/>
        </w:rPr>
        <w:fldChar w:fldCharType="separate"/>
      </w:r>
      <w:r w:rsidRPr="00416B71">
        <w:rPr>
          <w:rFonts w:ascii="Garamond" w:hAnsi="Garamond"/>
          <w:lang w:val="en-CA"/>
        </w:rPr>
        <w:t xml:space="preserve">(American Society of Safety Engineers, </w:t>
      </w:r>
      <w:proofErr w:type="spellStart"/>
      <w:r w:rsidRPr="00416B71">
        <w:rPr>
          <w:rFonts w:ascii="Garamond" w:hAnsi="Garamond"/>
          <w:lang w:val="en-CA"/>
        </w:rPr>
        <w:t>n.d.</w:t>
      </w:r>
      <w:proofErr w:type="spellEnd"/>
      <w:r w:rsidRPr="00416B71">
        <w:rPr>
          <w:rFonts w:ascii="Garamond" w:hAnsi="Garamond"/>
          <w:lang w:val="en-CA"/>
        </w:rPr>
        <w:t>)</w:t>
      </w:r>
      <w:r w:rsidRPr="00416B71">
        <w:rPr>
          <w:rFonts w:ascii="Garamond" w:hAnsi="Garamond"/>
          <w:lang w:val="en-CA"/>
        </w:rPr>
        <w:fldChar w:fldCharType="end"/>
      </w:r>
      <w:r w:rsidRPr="00416B71">
        <w:rPr>
          <w:rFonts w:ascii="Garamond" w:hAnsi="Garamond"/>
          <w:lang w:val="en-CA"/>
        </w:rPr>
        <w:t>.</w:t>
      </w:r>
    </w:p>
    <w:p w:rsidR="00921602" w:rsidRPr="00416B71" w:rsidRDefault="00921602" w:rsidP="00921602">
      <w:pPr>
        <w:spacing w:after="240"/>
        <w:rPr>
          <w:rFonts w:ascii="Garamond" w:hAnsi="Garamond"/>
          <w:lang w:val="en-CA"/>
        </w:rPr>
      </w:pPr>
      <w:r w:rsidRPr="00416B71">
        <w:rPr>
          <w:rFonts w:ascii="Garamond" w:hAnsi="Garamond"/>
          <w:lang w:val="en-CA"/>
        </w:rPr>
        <w:t>In brief:</w:t>
      </w:r>
    </w:p>
    <w:p w:rsidR="00921602" w:rsidRPr="00416B71" w:rsidRDefault="00921602" w:rsidP="00921602">
      <w:pPr>
        <w:numPr>
          <w:ilvl w:val="0"/>
          <w:numId w:val="2"/>
        </w:numPr>
        <w:spacing w:after="240"/>
        <w:ind w:left="714" w:hanging="357"/>
        <w:rPr>
          <w:rFonts w:ascii="Garamond" w:eastAsiaTheme="minorHAnsi" w:hAnsi="Garamond"/>
          <w:lang w:val="en-CA"/>
        </w:rPr>
      </w:pPr>
      <w:r w:rsidRPr="00416B71">
        <w:rPr>
          <w:rFonts w:ascii="Garamond" w:eastAsiaTheme="minorHAnsi" w:hAnsi="Garamond"/>
          <w:i/>
          <w:iCs/>
          <w:lang w:val="en-CA"/>
        </w:rPr>
        <w:lastRenderedPageBreak/>
        <w:t xml:space="preserve">Direct </w:t>
      </w:r>
      <w:r w:rsidRPr="00416B71">
        <w:rPr>
          <w:rFonts w:ascii="Garamond" w:eastAsiaTheme="minorHAnsi" w:hAnsi="Garamond"/>
          <w:i/>
          <w:lang w:val="en-CA"/>
        </w:rPr>
        <w:t>costs</w:t>
      </w:r>
      <w:r w:rsidRPr="00416B71">
        <w:rPr>
          <w:rFonts w:ascii="Garamond" w:eastAsiaTheme="minorHAnsi" w:hAnsi="Garamond"/>
          <w:lang w:val="en-CA"/>
        </w:rPr>
        <w:t xml:space="preserve"> accrue as the direct result of the injury and include loss of earnings and costs of medical care. In principle, these comprise the financial and non-financial (economic) costs. </w:t>
      </w:r>
    </w:p>
    <w:p w:rsidR="00921602" w:rsidRPr="00416B71" w:rsidRDefault="00921602" w:rsidP="00921602">
      <w:pPr>
        <w:numPr>
          <w:ilvl w:val="0"/>
          <w:numId w:val="2"/>
        </w:numPr>
        <w:spacing w:after="240"/>
        <w:ind w:left="714" w:hanging="357"/>
        <w:rPr>
          <w:rFonts w:ascii="Garamond" w:eastAsiaTheme="minorHAnsi" w:hAnsi="Garamond"/>
          <w:i/>
          <w:lang w:val="en-CA"/>
        </w:rPr>
      </w:pPr>
      <w:r w:rsidRPr="00416B71">
        <w:rPr>
          <w:rFonts w:ascii="Garamond" w:eastAsiaTheme="minorHAnsi" w:hAnsi="Garamond"/>
          <w:i/>
          <w:lang w:val="en-CA"/>
        </w:rPr>
        <w:t xml:space="preserve">Indirect costs </w:t>
      </w:r>
      <w:r w:rsidRPr="00416B71">
        <w:rPr>
          <w:rFonts w:ascii="Garamond" w:eastAsiaTheme="minorHAnsi" w:hAnsi="Garamond"/>
          <w:lang w:val="en-CA"/>
        </w:rPr>
        <w:t>include the costs of training replacements, accident investigation, loss of reputation of the employer, etc.</w:t>
      </w:r>
      <w:r w:rsidRPr="00416B71">
        <w:rPr>
          <w:rFonts w:ascii="Garamond" w:eastAsiaTheme="minorHAnsi" w:hAnsi="Garamond"/>
          <w:i/>
          <w:lang w:val="en-CA"/>
        </w:rPr>
        <w:t xml:space="preserve"> </w:t>
      </w:r>
    </w:p>
    <w:p w:rsidR="00921602" w:rsidRPr="00416B71" w:rsidRDefault="00921602" w:rsidP="00921602">
      <w:pPr>
        <w:spacing w:after="240"/>
        <w:rPr>
          <w:rFonts w:ascii="Garamond" w:hAnsi="Garamond"/>
          <w:lang w:val="en-CA"/>
        </w:rPr>
      </w:pPr>
      <w:r w:rsidRPr="00416B71">
        <w:rPr>
          <w:rFonts w:ascii="Garamond" w:hAnsi="Garamond"/>
          <w:lang w:val="en-CA"/>
        </w:rPr>
        <w:t>To consider this in more detail, four dimensions emerge when considering these ideas in relation to the costs of workplace accidents:</w:t>
      </w:r>
    </w:p>
    <w:p w:rsidR="00921602" w:rsidRPr="00416B71" w:rsidRDefault="00921602" w:rsidP="00921602">
      <w:pPr>
        <w:numPr>
          <w:ilvl w:val="0"/>
          <w:numId w:val="2"/>
        </w:numPr>
        <w:spacing w:after="240"/>
        <w:ind w:left="714" w:hanging="357"/>
        <w:rPr>
          <w:rFonts w:ascii="Garamond" w:eastAsiaTheme="minorHAnsi" w:hAnsi="Garamond"/>
          <w:lang w:val="en-CA"/>
        </w:rPr>
      </w:pPr>
      <w:r w:rsidRPr="00416B71">
        <w:rPr>
          <w:rFonts w:ascii="Garamond" w:eastAsiaTheme="minorHAnsi" w:hAnsi="Garamond"/>
          <w:lang w:val="en-CA"/>
        </w:rPr>
        <w:t>For the worker, the direct costs include net wage loss (wage at the time of the accident less the compensation while off work), as well as any out-of-pocket expenses not covered by WCB or health care plans (public or private). Indirect costs are longer-term costs due to the result of the accident, such as any reduction in wage in future employment because the worker has lost some capacity. For those permanently disabled, or who lose their lives, this amounts to the present value of future earnings plus the costs of care</w:t>
      </w:r>
      <w:r w:rsidR="00E5737C">
        <w:rPr>
          <w:rFonts w:ascii="Garamond" w:eastAsiaTheme="minorHAnsi" w:hAnsi="Garamond"/>
          <w:lang w:val="en-CA"/>
        </w:rPr>
        <w:t xml:space="preserve"> and end-of-life expenses (funerals and estates)</w:t>
      </w:r>
      <w:r w:rsidRPr="00416B71">
        <w:rPr>
          <w:rFonts w:ascii="Garamond" w:eastAsiaTheme="minorHAnsi" w:hAnsi="Garamond"/>
          <w:lang w:val="en-CA"/>
        </w:rPr>
        <w:t>.</w:t>
      </w:r>
    </w:p>
    <w:p w:rsidR="00921602" w:rsidRPr="00416B71" w:rsidRDefault="00921602" w:rsidP="00921602">
      <w:pPr>
        <w:numPr>
          <w:ilvl w:val="0"/>
          <w:numId w:val="2"/>
        </w:numPr>
        <w:spacing w:after="240"/>
        <w:ind w:left="714" w:hanging="357"/>
        <w:rPr>
          <w:rFonts w:ascii="Garamond" w:eastAsiaTheme="minorHAnsi" w:hAnsi="Garamond"/>
          <w:lang w:val="en-CA"/>
        </w:rPr>
      </w:pPr>
      <w:r w:rsidRPr="00416B71">
        <w:rPr>
          <w:rFonts w:ascii="Garamond" w:eastAsiaTheme="minorHAnsi" w:hAnsi="Garamond"/>
          <w:lang w:val="en-CA"/>
        </w:rPr>
        <w:t xml:space="preserve">For the employer, the direct costs include (but are not limited to) the loss of productivity when skilled/experienced workers are not available, the cost of training replacements, retraining returning workers to new positions, and costs of workplace modification. </w:t>
      </w:r>
      <w:r w:rsidR="00E5737C">
        <w:rPr>
          <w:rStyle w:val="FootnoteReference"/>
          <w:rFonts w:ascii="Garamond" w:eastAsiaTheme="minorHAnsi" w:hAnsi="Garamond"/>
          <w:lang w:val="en-CA"/>
        </w:rPr>
        <w:footnoteReference w:id="4"/>
      </w:r>
    </w:p>
    <w:p w:rsidR="00921602" w:rsidRPr="00416B71" w:rsidRDefault="00921602" w:rsidP="00921602">
      <w:pPr>
        <w:numPr>
          <w:ilvl w:val="0"/>
          <w:numId w:val="2"/>
        </w:numPr>
        <w:spacing w:after="240"/>
        <w:ind w:left="714" w:hanging="357"/>
        <w:rPr>
          <w:rFonts w:ascii="Garamond" w:eastAsiaTheme="minorHAnsi" w:hAnsi="Garamond"/>
          <w:lang w:val="en-CA"/>
        </w:rPr>
      </w:pPr>
      <w:r w:rsidRPr="00416B71">
        <w:rPr>
          <w:rFonts w:ascii="Garamond" w:eastAsiaTheme="minorHAnsi" w:hAnsi="Garamond"/>
          <w:lang w:val="en-CA"/>
        </w:rPr>
        <w:t>For the WCB, the direct cost</w:t>
      </w:r>
      <w:r w:rsidR="00A915DA">
        <w:rPr>
          <w:rFonts w:ascii="Garamond" w:eastAsiaTheme="minorHAnsi" w:hAnsi="Garamond"/>
          <w:lang w:val="en-CA"/>
        </w:rPr>
        <w:t>s</w:t>
      </w:r>
      <w:r w:rsidRPr="00416B71">
        <w:rPr>
          <w:rFonts w:ascii="Garamond" w:eastAsiaTheme="minorHAnsi" w:hAnsi="Garamond"/>
          <w:lang w:val="en-CA"/>
        </w:rPr>
        <w:t xml:space="preserve"> of workplace accidents include the wage compensation paid, as well as medical/rehabilitation expenses.</w:t>
      </w:r>
    </w:p>
    <w:p w:rsidR="00921602" w:rsidRPr="00416B71" w:rsidRDefault="00921602" w:rsidP="00921602">
      <w:pPr>
        <w:numPr>
          <w:ilvl w:val="0"/>
          <w:numId w:val="2"/>
        </w:numPr>
        <w:spacing w:after="240"/>
        <w:ind w:left="714" w:hanging="357"/>
        <w:rPr>
          <w:rFonts w:ascii="Garamond" w:eastAsiaTheme="minorHAnsi" w:hAnsi="Garamond"/>
          <w:lang w:val="en-CA"/>
        </w:rPr>
      </w:pPr>
      <w:r w:rsidRPr="00416B71">
        <w:rPr>
          <w:rFonts w:ascii="Garamond" w:eastAsiaTheme="minorHAnsi" w:hAnsi="Garamond"/>
          <w:lang w:val="en-CA"/>
        </w:rPr>
        <w:t>Finally, for society, the direct cost of workplace accidents is the loss of productivity, approximated by the net wage reduction experienced by employees, the loss of employees to the labour force, plus the net costs of using lower skilled workers.</w:t>
      </w:r>
    </w:p>
    <w:p w:rsidR="00921602" w:rsidRPr="00416B71" w:rsidRDefault="00921602" w:rsidP="00921602">
      <w:pPr>
        <w:spacing w:after="240"/>
        <w:rPr>
          <w:rFonts w:ascii="Garamond" w:hAnsi="Garamond"/>
          <w:lang w:val="en-CA"/>
        </w:rPr>
      </w:pPr>
      <w:r w:rsidRPr="00416B71">
        <w:rPr>
          <w:rFonts w:ascii="Garamond" w:hAnsi="Garamond"/>
          <w:lang w:val="en-CA"/>
        </w:rPr>
        <w:t>This</w:t>
      </w:r>
      <w:r w:rsidR="00416B71">
        <w:rPr>
          <w:rFonts w:ascii="Garamond" w:hAnsi="Garamond"/>
          <w:lang w:val="en-CA"/>
        </w:rPr>
        <w:t xml:space="preserve"> discussion is </w:t>
      </w:r>
      <w:r w:rsidRPr="00416B71">
        <w:rPr>
          <w:rFonts w:ascii="Garamond" w:hAnsi="Garamond"/>
          <w:lang w:val="en-CA"/>
        </w:rPr>
        <w:t>n</w:t>
      </w:r>
      <w:r w:rsidR="00416B71">
        <w:rPr>
          <w:rFonts w:ascii="Garamond" w:hAnsi="Garamond"/>
          <w:lang w:val="en-CA"/>
        </w:rPr>
        <w:t>ot exhaustive</w:t>
      </w:r>
      <w:r w:rsidR="00A915DA">
        <w:rPr>
          <w:rFonts w:ascii="Garamond" w:hAnsi="Garamond"/>
          <w:lang w:val="en-CA"/>
        </w:rPr>
        <w:t>,</w:t>
      </w:r>
      <w:r w:rsidR="00416B71">
        <w:rPr>
          <w:rFonts w:ascii="Garamond" w:hAnsi="Garamond"/>
          <w:lang w:val="en-CA"/>
        </w:rPr>
        <w:t xml:space="preserve"> but it does illustrate that </w:t>
      </w:r>
      <w:r w:rsidR="00A915DA">
        <w:rPr>
          <w:rFonts w:ascii="Garamond" w:hAnsi="Garamond"/>
          <w:lang w:val="en-CA"/>
        </w:rPr>
        <w:t>some</w:t>
      </w:r>
      <w:r w:rsidR="00416B71">
        <w:rPr>
          <w:rFonts w:ascii="Garamond" w:hAnsi="Garamond"/>
          <w:lang w:val="en-CA"/>
        </w:rPr>
        <w:t xml:space="preserve"> economic cost</w:t>
      </w:r>
      <w:r w:rsidR="00A915DA">
        <w:rPr>
          <w:rFonts w:ascii="Garamond" w:hAnsi="Garamond"/>
          <w:lang w:val="en-CA"/>
        </w:rPr>
        <w:t>s</w:t>
      </w:r>
      <w:r w:rsidR="00416B71">
        <w:rPr>
          <w:rFonts w:ascii="Garamond" w:hAnsi="Garamond"/>
          <w:lang w:val="en-CA"/>
        </w:rPr>
        <w:t xml:space="preserve"> of a workplace accident are indirect, </w:t>
      </w:r>
      <w:r w:rsidR="00B81118">
        <w:rPr>
          <w:rFonts w:ascii="Garamond" w:hAnsi="Garamond"/>
          <w:lang w:val="en-CA"/>
        </w:rPr>
        <w:t>intangible, and non-financial.</w:t>
      </w:r>
    </w:p>
    <w:p w:rsidR="00921602" w:rsidRPr="00416B71" w:rsidRDefault="00921602" w:rsidP="00921602">
      <w:pPr>
        <w:autoSpaceDE w:val="0"/>
        <w:autoSpaceDN w:val="0"/>
        <w:adjustRightInd w:val="0"/>
        <w:spacing w:after="240"/>
        <w:ind w:right="-270"/>
        <w:rPr>
          <w:rFonts w:ascii="Garamond" w:eastAsiaTheme="minorHAnsi" w:hAnsi="Garamond" w:cs="Arial"/>
          <w:b/>
          <w:color w:val="000000"/>
          <w:lang w:val="en-CA"/>
        </w:rPr>
      </w:pPr>
      <w:r w:rsidRPr="00416B71">
        <w:rPr>
          <w:rFonts w:ascii="Garamond" w:eastAsiaTheme="minorHAnsi" w:hAnsi="Garamond" w:cs="Arial"/>
          <w:b/>
          <w:color w:val="000000"/>
          <w:lang w:val="en-CA"/>
        </w:rPr>
        <w:t>Measuring the costs of workplace accidents</w:t>
      </w:r>
    </w:p>
    <w:p w:rsidR="00921602" w:rsidRPr="00416B71" w:rsidRDefault="00921602" w:rsidP="00921602">
      <w:pPr>
        <w:autoSpaceDE w:val="0"/>
        <w:autoSpaceDN w:val="0"/>
        <w:adjustRightInd w:val="0"/>
        <w:spacing w:after="240"/>
        <w:ind w:right="-270"/>
        <w:rPr>
          <w:rFonts w:ascii="Garamond" w:eastAsiaTheme="minorHAnsi" w:hAnsi="Garamond"/>
          <w:color w:val="000000"/>
          <w:lang w:val="en-CA"/>
        </w:rPr>
      </w:pPr>
      <w:r w:rsidRPr="00416B71">
        <w:rPr>
          <w:rFonts w:ascii="Garamond" w:eastAsiaTheme="minorHAnsi" w:hAnsi="Garamond"/>
          <w:color w:val="000000"/>
          <w:lang w:val="en-CA"/>
        </w:rPr>
        <w:t xml:space="preserve">Research into the incidence of workplace injuries and fatalities, as well as the estimates of associated costs, varies greatly by scope and intent. Some studies attempt to estimate a limited number of costs, often focussing only on lost wages and medical costs. Other research expands the analysis to other types of costs for injured workers, their families, employers, and society as a whole. In addition, some researchers estimate costs for entire countries, whereas others focus on smaller regions (provinces/states). The following are five representative examples of the research: </w:t>
      </w:r>
    </w:p>
    <w:p w:rsidR="00921602" w:rsidRPr="00416B71" w:rsidRDefault="00921602" w:rsidP="00921602">
      <w:pPr>
        <w:numPr>
          <w:ilvl w:val="0"/>
          <w:numId w:val="2"/>
        </w:numPr>
        <w:spacing w:after="240"/>
        <w:ind w:left="714" w:hanging="357"/>
        <w:rPr>
          <w:rFonts w:ascii="Garamond" w:eastAsiaTheme="minorHAnsi" w:hAnsi="Garamond"/>
          <w:lang w:val="en-CA"/>
        </w:rPr>
      </w:pPr>
      <w:r w:rsidRPr="00416B71">
        <w:rPr>
          <w:rFonts w:ascii="Garamond" w:eastAsiaTheme="minorHAnsi" w:hAnsi="Garamond"/>
          <w:lang w:val="en-CA"/>
        </w:rPr>
        <w:t xml:space="preserve">Work-related fatalities in Canada from 1993 to 2005 are high in the view of some </w:t>
      </w:r>
      <w:r w:rsidRPr="00416B71">
        <w:rPr>
          <w:rFonts w:ascii="Garamond" w:eastAsiaTheme="minorHAnsi" w:hAnsi="Garamond"/>
          <w:lang w:val="en-CA"/>
        </w:rPr>
        <w:fldChar w:fldCharType="begin"/>
      </w:r>
      <w:r w:rsidRPr="00416B71">
        <w:rPr>
          <w:rFonts w:ascii="Garamond" w:eastAsiaTheme="minorHAnsi" w:hAnsi="Garamond"/>
          <w:lang w:val="en-CA"/>
        </w:rPr>
        <w:instrText xml:space="preserve"> ADDIN ZOTERO_ITEM CSL_CITATION {"citationID":"kmswnkvK","properties":{"formattedCitation":"(Sharpe &amp; Hardt, 2006)","plainCitation":"(Sharpe &amp; Hardt, 2006)"},"citationItems":[{"id":85,"uris":["http://zotero.org/users/2456724/items/JSKAIQ4M"],"uri":["http://zotero.org/users/2456724/items/JSKAIQ4M"],"itemData":{"id":85,"type":"report","title":"Five Deaths a Day: Workplace Fatalities in Canada","publisher":"Centre for the Study of Living Standards","page":"155","source":"Google Scholar","URL":"http://www.csls.ca/reports/csls2006-04.pdf?avfm=174","shortTitle":"Five Deaths a Day","author":[{"family":"Sharpe","given":"Andrew"},{"family":"Hardt","given":"Jill"}],"issued":{"date-parts":[["2006"]]},"accessed":{"date-parts":[["2015",5,2]]}}}],"schema":"https://github.com/citation-style-language/schema/raw/master/csl-citation.json"} </w:instrText>
      </w:r>
      <w:r w:rsidRPr="00416B71">
        <w:rPr>
          <w:rFonts w:ascii="Garamond" w:eastAsiaTheme="minorHAnsi" w:hAnsi="Garamond"/>
          <w:lang w:val="en-CA"/>
        </w:rPr>
        <w:fldChar w:fldCharType="separate"/>
      </w:r>
      <w:r w:rsidRPr="00416B71">
        <w:rPr>
          <w:rFonts w:ascii="Garamond" w:eastAsiaTheme="minorHAnsi" w:hAnsi="Garamond"/>
          <w:lang w:val="en-CA"/>
        </w:rPr>
        <w:t>(Sharpe &amp; Hardt, 2006)</w:t>
      </w:r>
      <w:r w:rsidRPr="00416B71">
        <w:rPr>
          <w:rFonts w:ascii="Garamond" w:eastAsiaTheme="minorHAnsi" w:hAnsi="Garamond"/>
          <w:lang w:val="en-CA"/>
        </w:rPr>
        <w:fldChar w:fldCharType="end"/>
      </w:r>
      <w:r w:rsidRPr="00416B71">
        <w:rPr>
          <w:rFonts w:ascii="Garamond" w:eastAsiaTheme="minorHAnsi" w:hAnsi="Garamond"/>
          <w:lang w:val="en-CA"/>
        </w:rPr>
        <w:t xml:space="preserve">. Although they did not estimate costs, they found that there were 758 reported workplace fatalities in 1993, and 1,097 reported workplace fatalities in 2005, an increase of </w:t>
      </w:r>
      <w:r w:rsidRPr="00416B71">
        <w:rPr>
          <w:rFonts w:ascii="Garamond" w:eastAsiaTheme="minorHAnsi" w:hAnsi="Garamond"/>
          <w:lang w:val="en-CA"/>
        </w:rPr>
        <w:lastRenderedPageBreak/>
        <w:t xml:space="preserve">45%. The results also showed that, in 2003, Canada had the fifth highest workplace fatality rate out of 29 OECD countries, surpassed by Portugal, Turkey, Korea, and Mexico. </w:t>
      </w:r>
    </w:p>
    <w:p w:rsidR="00921602" w:rsidRPr="00416B71" w:rsidRDefault="00921602" w:rsidP="00921602">
      <w:pPr>
        <w:numPr>
          <w:ilvl w:val="0"/>
          <w:numId w:val="2"/>
        </w:numPr>
        <w:spacing w:after="240"/>
        <w:ind w:left="714" w:hanging="357"/>
        <w:rPr>
          <w:rFonts w:ascii="Garamond" w:eastAsiaTheme="minorHAnsi" w:hAnsi="Garamond"/>
          <w:lang w:val="en-CA"/>
        </w:rPr>
      </w:pPr>
      <w:r w:rsidRPr="00416B71">
        <w:rPr>
          <w:rFonts w:ascii="Garamond" w:eastAsiaTheme="minorHAnsi" w:hAnsi="Garamond"/>
          <w:lang w:val="en-CA"/>
        </w:rPr>
        <w:t xml:space="preserve">The national economic costs of work-related injuries, illnesses, and fatalities in the United States in 2007 may be estimated using publicly available data </w:t>
      </w:r>
      <w:r w:rsidRPr="00416B71">
        <w:rPr>
          <w:rFonts w:ascii="Garamond" w:eastAsiaTheme="minorHAnsi" w:hAnsi="Garamond"/>
          <w:lang w:val="en-CA"/>
        </w:rPr>
        <w:fldChar w:fldCharType="begin"/>
      </w:r>
      <w:r w:rsidRPr="00416B71">
        <w:rPr>
          <w:rFonts w:ascii="Garamond" w:eastAsiaTheme="minorHAnsi" w:hAnsi="Garamond"/>
          <w:lang w:val="en-CA"/>
        </w:rPr>
        <w:instrText xml:space="preserve"> ADDIN ZOTERO_ITEM CSL_CITATION {"citationID":"rCYgnE8V","properties":{"formattedCitation":"(Leigh, J-P., 2011)","plainCitation":"(Leigh, J-P., 2011)"},"citationItems":[{"id":83,"uris":["http://zotero.org/users/2456724/items/KQU5E9F6"],"uri":["http://zotero.org/users/2456724/items/KQU5E9F6"],"itemData":{"id":83,"type":"article-journal","title":"Economic Burden of Occupational Injury and Illness in the United States","container-title":"Milbank Quarterly","page":"728–772","volume":"89","issue":"4","source":"Google Scholar","author":[{"family":"Leigh, J-P.","given":""}],"issued":{"date-parts":[["2011"]]},"accessed":{"date-parts":[["2015",5,2]]}}}],"schema":"https://github.com/citation-style-language/schema/raw/master/csl-citation.json"} </w:instrText>
      </w:r>
      <w:r w:rsidRPr="00416B71">
        <w:rPr>
          <w:rFonts w:ascii="Garamond" w:eastAsiaTheme="minorHAnsi" w:hAnsi="Garamond"/>
          <w:lang w:val="en-CA"/>
        </w:rPr>
        <w:fldChar w:fldCharType="separate"/>
      </w:r>
      <w:r w:rsidRPr="00416B71">
        <w:rPr>
          <w:rFonts w:ascii="Garamond" w:eastAsiaTheme="minorHAnsi" w:hAnsi="Garamond"/>
          <w:lang w:val="en-CA"/>
        </w:rPr>
        <w:t>(Leigh, J-P., 2011)</w:t>
      </w:r>
      <w:r w:rsidRPr="00416B71">
        <w:rPr>
          <w:rFonts w:ascii="Garamond" w:eastAsiaTheme="minorHAnsi" w:hAnsi="Garamond"/>
          <w:lang w:val="en-CA"/>
        </w:rPr>
        <w:fldChar w:fldCharType="end"/>
      </w:r>
      <w:r w:rsidRPr="00416B71">
        <w:rPr>
          <w:rFonts w:ascii="Garamond" w:eastAsiaTheme="minorHAnsi" w:hAnsi="Garamond"/>
          <w:lang w:val="en-CA"/>
        </w:rPr>
        <w:t xml:space="preserve">. The major data sources for the study included the U.S. Bureau of Labor Statistics (BLS), the Centers for Disease Control and Prevention, the National Council on Compensation Insurance, and the Healthcare Cost and Utilization Project. To calculate total costs, the author multiplied the number of cases by the average cost per case. </w:t>
      </w:r>
    </w:p>
    <w:p w:rsidR="00921602" w:rsidRPr="00416B71" w:rsidRDefault="00921602" w:rsidP="00921602">
      <w:pPr>
        <w:numPr>
          <w:ilvl w:val="0"/>
          <w:numId w:val="2"/>
        </w:numPr>
        <w:spacing w:after="240"/>
        <w:ind w:left="714" w:hanging="357"/>
        <w:rPr>
          <w:rFonts w:ascii="Garamond" w:eastAsiaTheme="minorHAnsi" w:hAnsi="Garamond"/>
          <w:lang w:val="en-CA"/>
        </w:rPr>
      </w:pPr>
      <w:r w:rsidRPr="00416B71">
        <w:rPr>
          <w:rFonts w:ascii="Garamond" w:eastAsiaTheme="minorHAnsi" w:hAnsi="Garamond"/>
          <w:lang w:val="en-CA"/>
        </w:rPr>
        <w:t xml:space="preserve">An example of a specific sector study may be found in </w:t>
      </w:r>
      <w:r w:rsidRPr="00416B71">
        <w:rPr>
          <w:rFonts w:ascii="Garamond" w:eastAsiaTheme="minorHAnsi" w:hAnsi="Garamond"/>
          <w:lang w:val="en-CA"/>
        </w:rPr>
        <w:fldChar w:fldCharType="begin"/>
      </w:r>
      <w:r w:rsidRPr="00416B71">
        <w:rPr>
          <w:rFonts w:ascii="Garamond" w:eastAsiaTheme="minorHAnsi" w:hAnsi="Garamond"/>
          <w:lang w:val="en-CA"/>
        </w:rPr>
        <w:instrText xml:space="preserve"> ADDIN ZOTERO_ITEM CSL_CITATION {"citationID":"0Ernu5lm","properties":{"formattedCitation":"(Anderson, Schulte, Sestito, Linn, &amp; Nguyen, 2010)","plainCitation":"(Anderson, Schulte, Sestito, Linn, &amp; Nguyen, 2010)"},"citationItems":[{"id":74,"uris":["http://zotero.org/users/2456724/items/ZEWQ8NTV"],"uri":["http://zotero.org/users/2456724/items/ZEWQ8NTV"],"itemData":{"id":74,"type":"article-journal","title":"Occupational Fatalities, Injuries, Illnesses, and Related Economic Loss in the Wholesale and Retail Trade Sector","container-title":"American Journal of Industrial Medicine","page":"n/a-n/a","source":"CrossRef","DOI":"10.1002/ajim.20813","ISSN":"02713586, 10970274","language":"en","author":[{"family":"Anderson","given":"Vern Putz"},{"family":"Schulte","given":"Paul A."},{"family":"Sestito","given":"John"},{"family":"Linn","given":"Herb"},{"family":"Nguyen","given":"Long S."}],"issued":{"date-parts":[["2010"]]},"accessed":{"date-parts":[["2015",5,2]]}}}],"schema":"https://github.com/citation-style-language/schema/raw/master/csl-citation.json"} </w:instrText>
      </w:r>
      <w:r w:rsidRPr="00416B71">
        <w:rPr>
          <w:rFonts w:ascii="Garamond" w:eastAsiaTheme="minorHAnsi" w:hAnsi="Garamond"/>
          <w:lang w:val="en-CA"/>
        </w:rPr>
        <w:fldChar w:fldCharType="separate"/>
      </w:r>
      <w:r w:rsidRPr="00416B71">
        <w:rPr>
          <w:rFonts w:ascii="Garamond" w:eastAsiaTheme="minorHAnsi" w:hAnsi="Garamond"/>
          <w:lang w:val="en-CA"/>
        </w:rPr>
        <w:t>(Anderson, Schulte, Sestito, Linn, &amp; Nguyen, 2010)</w:t>
      </w:r>
      <w:r w:rsidRPr="00416B71">
        <w:rPr>
          <w:rFonts w:ascii="Garamond" w:eastAsiaTheme="minorHAnsi" w:hAnsi="Garamond"/>
          <w:lang w:val="en-CA"/>
        </w:rPr>
        <w:fldChar w:fldCharType="end"/>
      </w:r>
      <w:r w:rsidRPr="00416B71">
        <w:rPr>
          <w:rFonts w:ascii="Garamond" w:eastAsiaTheme="minorHAnsi" w:hAnsi="Garamond"/>
          <w:lang w:val="en-CA"/>
        </w:rPr>
        <w:t xml:space="preserve"> who studied the economic costs of work-related injuries, illnesses, and fatalities in </w:t>
      </w:r>
      <w:r w:rsidR="00B81118">
        <w:rPr>
          <w:rFonts w:ascii="Garamond" w:eastAsiaTheme="minorHAnsi" w:hAnsi="Garamond"/>
          <w:lang w:val="en-CA"/>
        </w:rPr>
        <w:t>the wholesale and retail trade</w:t>
      </w:r>
      <w:r w:rsidR="008A4032">
        <w:rPr>
          <w:rFonts w:ascii="Garamond" w:eastAsiaTheme="minorHAnsi" w:hAnsi="Garamond"/>
          <w:lang w:val="en-CA"/>
        </w:rPr>
        <w:t xml:space="preserve"> (WRT)</w:t>
      </w:r>
      <w:r w:rsidR="00B81118">
        <w:rPr>
          <w:rFonts w:ascii="Garamond" w:eastAsiaTheme="minorHAnsi" w:hAnsi="Garamond"/>
          <w:lang w:val="en-CA"/>
        </w:rPr>
        <w:t xml:space="preserve"> </w:t>
      </w:r>
      <w:r w:rsidRPr="00416B71">
        <w:rPr>
          <w:rFonts w:ascii="Garamond" w:eastAsiaTheme="minorHAnsi" w:hAnsi="Garamond"/>
          <w:lang w:val="en-CA"/>
        </w:rPr>
        <w:t>sector of the United States. They obtained statistics on injuries, illnesses, and fatalities from the U.S. B</w:t>
      </w:r>
      <w:r w:rsidR="00B81118">
        <w:rPr>
          <w:rFonts w:ascii="Garamond" w:eastAsiaTheme="minorHAnsi" w:hAnsi="Garamond"/>
          <w:lang w:val="en-CA"/>
        </w:rPr>
        <w:t>ureau of Labour Statistics</w:t>
      </w:r>
      <w:r w:rsidRPr="00416B71">
        <w:rPr>
          <w:rFonts w:ascii="Garamond" w:eastAsiaTheme="minorHAnsi" w:hAnsi="Garamond"/>
          <w:lang w:val="en-CA"/>
        </w:rPr>
        <w:t xml:space="preserve">, and were able to compare the statistics of the WRT sector to a baseline (the private sector as a whole). They obtained cost estimates from literature. </w:t>
      </w:r>
    </w:p>
    <w:p w:rsidR="00921602" w:rsidRPr="00416B71" w:rsidRDefault="00921602" w:rsidP="00921602">
      <w:pPr>
        <w:numPr>
          <w:ilvl w:val="0"/>
          <w:numId w:val="2"/>
        </w:numPr>
        <w:spacing w:after="240"/>
        <w:ind w:left="714" w:hanging="357"/>
        <w:rPr>
          <w:rFonts w:ascii="Garamond" w:eastAsiaTheme="minorHAnsi" w:hAnsi="Garamond"/>
          <w:lang w:val="en-CA"/>
        </w:rPr>
      </w:pPr>
      <w:r w:rsidRPr="00416B71">
        <w:rPr>
          <w:rFonts w:ascii="Garamond" w:eastAsiaTheme="minorHAnsi" w:hAnsi="Garamond"/>
          <w:lang w:val="en-CA"/>
        </w:rPr>
        <w:t xml:space="preserve">Boden and </w:t>
      </w:r>
      <w:proofErr w:type="spellStart"/>
      <w:r w:rsidRPr="00416B71">
        <w:rPr>
          <w:rFonts w:ascii="Garamond" w:eastAsiaTheme="minorHAnsi" w:hAnsi="Garamond"/>
          <w:lang w:val="en-CA"/>
        </w:rPr>
        <w:t>Galizzi</w:t>
      </w:r>
      <w:proofErr w:type="spellEnd"/>
      <w:r w:rsidRPr="00416B71">
        <w:rPr>
          <w:rFonts w:ascii="Garamond" w:eastAsiaTheme="minorHAnsi" w:hAnsi="Garamond"/>
          <w:lang w:val="en-CA"/>
        </w:rPr>
        <w:t xml:space="preserve"> </w:t>
      </w:r>
      <w:r w:rsidRPr="00416B71">
        <w:rPr>
          <w:rFonts w:ascii="Garamond" w:eastAsiaTheme="minorHAnsi" w:hAnsi="Garamond"/>
          <w:lang w:val="en-CA"/>
        </w:rPr>
        <w:fldChar w:fldCharType="begin"/>
      </w:r>
      <w:r w:rsidRPr="00416B71">
        <w:rPr>
          <w:rFonts w:ascii="Garamond" w:eastAsiaTheme="minorHAnsi" w:hAnsi="Garamond"/>
          <w:lang w:val="en-CA"/>
        </w:rPr>
        <w:instrText xml:space="preserve"> ADDIN ZOTERO_ITEM CSL_CITATION {"citationID":"NPTX59mP","properties":{"formattedCitation":"(1999)","plainCitation":"(1999)"},"citationItems":[{"id":132,"uris":["http://zotero.org/users/2456724/items/NAMB28TJ"],"uri":["http://zotero.org/users/2456724/items/NAMB28TJ"],"itemData":{"id":132,"type":"article-journal","title":"Economic Consequences of Workplace Injuries and Illnesses: Lost Earnings and Benefit Adequacy","container-title":"Journal of Industrial Medicine","page":"487-503","volume":"36","author":[{"family":"Boden, Leslie","given":""},{"family":"Galizzi, Monica","given":""}],"issued":{"date-parts":[["1999"]]}},"suppress-author":true}],"schema":"https://github.com/citation-style-language/schema/raw/master/csl-citation.json"} </w:instrText>
      </w:r>
      <w:r w:rsidRPr="00416B71">
        <w:rPr>
          <w:rFonts w:ascii="Garamond" w:eastAsiaTheme="minorHAnsi" w:hAnsi="Garamond"/>
          <w:lang w:val="en-CA"/>
        </w:rPr>
        <w:fldChar w:fldCharType="separate"/>
      </w:r>
      <w:r w:rsidRPr="00416B71">
        <w:rPr>
          <w:rFonts w:ascii="Garamond" w:eastAsiaTheme="minorHAnsi" w:hAnsi="Garamond"/>
          <w:lang w:val="en-CA"/>
        </w:rPr>
        <w:t>(1999)</w:t>
      </w:r>
      <w:r w:rsidRPr="00416B71">
        <w:rPr>
          <w:rFonts w:ascii="Garamond" w:eastAsiaTheme="minorHAnsi" w:hAnsi="Garamond"/>
          <w:lang w:val="en-CA"/>
        </w:rPr>
        <w:fldChar w:fldCharType="end"/>
      </w:r>
      <w:r w:rsidRPr="00416B71">
        <w:rPr>
          <w:rFonts w:ascii="Garamond" w:eastAsiaTheme="minorHAnsi" w:hAnsi="Garamond"/>
          <w:lang w:val="en-CA"/>
        </w:rPr>
        <w:t xml:space="preserve"> investigated the lost wages of work-related injuries and illnesses in Wisconsin. Their approach involved analyzing individual wage and injury/illness data and aggregating the overall lost earnings. Using a regression model, they compared post-injury wages across different groups of injured workers. </w:t>
      </w:r>
    </w:p>
    <w:p w:rsidR="00921602" w:rsidRPr="00B11612" w:rsidRDefault="00921602" w:rsidP="00921602">
      <w:pPr>
        <w:numPr>
          <w:ilvl w:val="0"/>
          <w:numId w:val="2"/>
        </w:numPr>
        <w:spacing w:after="240"/>
        <w:ind w:left="714" w:hanging="357"/>
        <w:rPr>
          <w:rFonts w:ascii="Garamond" w:eastAsiaTheme="minorHAnsi" w:hAnsi="Garamond"/>
          <w:lang w:val="en-CA"/>
        </w:rPr>
      </w:pPr>
      <w:r w:rsidRPr="00416B71">
        <w:rPr>
          <w:rFonts w:ascii="Garamond" w:eastAsiaTheme="minorHAnsi" w:hAnsi="Garamond"/>
          <w:lang w:val="en-CA"/>
        </w:rPr>
        <w:t xml:space="preserve">Corso </w:t>
      </w:r>
      <w:r w:rsidRPr="00416B71">
        <w:rPr>
          <w:rFonts w:ascii="Garamond" w:eastAsiaTheme="minorHAnsi" w:hAnsi="Garamond"/>
          <w:lang w:val="en-CA"/>
        </w:rPr>
        <w:fldChar w:fldCharType="begin"/>
      </w:r>
      <w:r w:rsidRPr="00416B71">
        <w:rPr>
          <w:rFonts w:ascii="Garamond" w:eastAsiaTheme="minorHAnsi" w:hAnsi="Garamond"/>
          <w:lang w:val="en-CA"/>
        </w:rPr>
        <w:instrText xml:space="preserve"> ADDIN ZOTERO_ITEM CSL_CITATION {"citationID":"UlqNhhIo","properties":{"formattedCitation":"(2006)","plainCitation":"(2006)"},"citationItems":[{"id":80,"uris":["http://zotero.org/users/2456724/items/S4W543AK"],"uri":["http://zotero.org/users/2456724/items/S4W543AK"],"itemData":{"id":80,"type":"article-journal","title":"Incidence and Lifetime Costs of Injuries in the United States","container-title":"Injury Prevention","page":"212-218","volume":"12","issue":"4","source":"CrossRef","DOI":"10.1136/ip.2005.010983","ISSN":"1353-8047","language":"en","author":[{"family":"Corso","given":"P"}],"issued":{"date-parts":[["2006",8,1]]},"accessed":{"date-parts":[["2015",5,2]]}},"suppress-author":true}],"schema":"https://github.com/citation-style-language/schema/raw/master/csl-citation.json"} </w:instrText>
      </w:r>
      <w:r w:rsidRPr="00416B71">
        <w:rPr>
          <w:rFonts w:ascii="Garamond" w:eastAsiaTheme="minorHAnsi" w:hAnsi="Garamond"/>
          <w:lang w:val="en-CA"/>
        </w:rPr>
        <w:fldChar w:fldCharType="separate"/>
      </w:r>
      <w:r w:rsidRPr="00416B71">
        <w:rPr>
          <w:rFonts w:ascii="Garamond" w:eastAsiaTheme="minorHAnsi" w:hAnsi="Garamond"/>
          <w:lang w:val="en-CA"/>
        </w:rPr>
        <w:t>(2006)</w:t>
      </w:r>
      <w:r w:rsidRPr="00416B71">
        <w:rPr>
          <w:rFonts w:ascii="Garamond" w:eastAsiaTheme="minorHAnsi" w:hAnsi="Garamond"/>
          <w:lang w:val="en-CA"/>
        </w:rPr>
        <w:fldChar w:fldCharType="end"/>
      </w:r>
      <w:r w:rsidRPr="00416B71">
        <w:rPr>
          <w:rFonts w:ascii="Garamond" w:eastAsiaTheme="minorHAnsi" w:hAnsi="Garamond"/>
          <w:lang w:val="en-CA"/>
        </w:rPr>
        <w:t xml:space="preserve"> examined the national incidence and lifetime costs (in this case, medical costs and productivity losses) of </w:t>
      </w:r>
      <w:r w:rsidRPr="008A4032">
        <w:rPr>
          <w:rFonts w:ascii="Garamond" w:eastAsiaTheme="minorHAnsi" w:hAnsi="Garamond"/>
          <w:lang w:val="en-CA"/>
        </w:rPr>
        <w:t>injuries in the United States. The researchers combined various data sets to calculate medical and productivity costs. By multiplying these by the incidence rates of various injuries, and discounting to present value, they calculated the total lifetime costs of injuries in the United States in 2000. They found that, in 2000, more than 50 million Americans sustained an injury that was medically treated, resulting in $80 billion in medical treatment costs and $326 billion in lost productivity costs ($406 billion overall lifetime cost).</w:t>
      </w:r>
      <w:r w:rsidRPr="00B11612">
        <w:rPr>
          <w:rFonts w:ascii="Garamond" w:eastAsiaTheme="minorHAnsi" w:hAnsi="Garamond"/>
          <w:lang w:val="en-CA"/>
        </w:rPr>
        <w:t xml:space="preserve"> </w:t>
      </w:r>
    </w:p>
    <w:p w:rsidR="00921602" w:rsidRPr="00B11612" w:rsidRDefault="00921602" w:rsidP="00921602">
      <w:pPr>
        <w:autoSpaceDE w:val="0"/>
        <w:autoSpaceDN w:val="0"/>
        <w:adjustRightInd w:val="0"/>
        <w:spacing w:after="240"/>
        <w:rPr>
          <w:rFonts w:ascii="Garamond" w:eastAsiaTheme="minorHAnsi" w:hAnsi="Garamond"/>
          <w:color w:val="000000"/>
          <w:lang w:val="en-CA"/>
        </w:rPr>
      </w:pPr>
      <w:r w:rsidRPr="00B11612">
        <w:rPr>
          <w:rFonts w:ascii="Garamond" w:eastAsiaTheme="minorHAnsi" w:hAnsi="Garamond"/>
          <w:color w:val="000000"/>
          <w:lang w:val="en-CA"/>
        </w:rPr>
        <w:t>One final distinction is important</w:t>
      </w:r>
      <w:r w:rsidR="008A4032">
        <w:rPr>
          <w:rFonts w:ascii="Garamond" w:eastAsiaTheme="minorHAnsi" w:hAnsi="Garamond"/>
          <w:color w:val="000000"/>
          <w:lang w:val="en-CA"/>
        </w:rPr>
        <w:t>,</w:t>
      </w:r>
      <w:r w:rsidRPr="00B11612">
        <w:rPr>
          <w:rFonts w:ascii="Garamond" w:eastAsiaTheme="minorHAnsi" w:hAnsi="Garamond"/>
          <w:color w:val="000000"/>
          <w:lang w:val="en-CA"/>
        </w:rPr>
        <w:t xml:space="preserve"> and that is the difference between financial and economic costs. This often appears as the distinction between economic and non-economic</w:t>
      </w:r>
      <w:r w:rsidR="008A4032">
        <w:rPr>
          <w:rFonts w:ascii="Garamond" w:eastAsiaTheme="minorHAnsi" w:hAnsi="Garamond"/>
          <w:color w:val="000000"/>
          <w:lang w:val="en-CA"/>
        </w:rPr>
        <w:t xml:space="preserve"> costs</w:t>
      </w:r>
      <w:r w:rsidRPr="00B11612">
        <w:rPr>
          <w:rFonts w:ascii="Garamond" w:eastAsiaTheme="minorHAnsi" w:hAnsi="Garamond"/>
          <w:color w:val="000000"/>
          <w:lang w:val="en-CA"/>
        </w:rPr>
        <w:t>, but in the spirit of the quotations that started this section and the intent of this research study, the terms financial and economic are more accurate.</w:t>
      </w:r>
    </w:p>
    <w:tbl>
      <w:tblPr>
        <w:tblW w:w="10737" w:type="dxa"/>
        <w:jc w:val="center"/>
        <w:tblLayout w:type="fixed"/>
        <w:tblLook w:val="0000" w:firstRow="0" w:lastRow="0" w:firstColumn="0" w:lastColumn="0" w:noHBand="0" w:noVBand="0"/>
      </w:tblPr>
      <w:tblGrid>
        <w:gridCol w:w="2340"/>
        <w:gridCol w:w="3744"/>
        <w:gridCol w:w="4653"/>
      </w:tblGrid>
      <w:tr w:rsidR="00921602" w:rsidRPr="00AF72C2" w:rsidTr="00921602">
        <w:trPr>
          <w:cantSplit/>
          <w:tblHeader/>
          <w:jc w:val="center"/>
        </w:trPr>
        <w:tc>
          <w:tcPr>
            <w:tcW w:w="10737" w:type="dxa"/>
            <w:gridSpan w:val="3"/>
            <w:tcBorders>
              <w:top w:val="single" w:sz="4" w:space="0" w:color="auto"/>
              <w:left w:val="single" w:sz="4" w:space="0" w:color="auto"/>
              <w:bottom w:val="single" w:sz="4" w:space="0" w:color="auto"/>
              <w:right w:val="single" w:sz="4" w:space="0" w:color="auto"/>
            </w:tcBorders>
            <w:shd w:val="clear" w:color="auto" w:fill="D9D9D9"/>
          </w:tcPr>
          <w:p w:rsidR="00921602" w:rsidRPr="00AF72C2" w:rsidRDefault="00921602" w:rsidP="00921602">
            <w:pPr>
              <w:rPr>
                <w:rFonts w:ascii="Garamond" w:hAnsi="Garamond" w:cs="Arial"/>
                <w:bCs/>
                <w:sz w:val="22"/>
                <w:szCs w:val="22"/>
                <w:lang w:val="en-CA"/>
              </w:rPr>
            </w:pPr>
            <w:bookmarkStart w:id="3" w:name="_Ref420527095"/>
            <w:r w:rsidRPr="00AF72C2">
              <w:rPr>
                <w:rFonts w:ascii="Garamond" w:hAnsi="Garamond" w:cs="Arial"/>
                <w:b/>
                <w:bCs/>
                <w:sz w:val="22"/>
                <w:szCs w:val="22"/>
                <w:lang w:val="en-CA"/>
              </w:rPr>
              <w:t xml:space="preserve">Table </w:t>
            </w:r>
            <w:r w:rsidRPr="00AF72C2">
              <w:rPr>
                <w:rFonts w:ascii="Garamond" w:hAnsi="Garamond" w:cs="Arial"/>
                <w:b/>
                <w:bCs/>
                <w:sz w:val="22"/>
                <w:szCs w:val="22"/>
                <w:lang w:val="en-CA"/>
              </w:rPr>
              <w:fldChar w:fldCharType="begin"/>
            </w:r>
            <w:r w:rsidRPr="00AF72C2">
              <w:rPr>
                <w:rFonts w:ascii="Garamond" w:hAnsi="Garamond" w:cs="Arial"/>
                <w:b/>
                <w:bCs/>
                <w:sz w:val="22"/>
                <w:szCs w:val="22"/>
                <w:lang w:val="en-CA"/>
              </w:rPr>
              <w:instrText xml:space="preserve"> SEQ Table \* ARABIC </w:instrText>
            </w:r>
            <w:r w:rsidRPr="00AF72C2">
              <w:rPr>
                <w:rFonts w:ascii="Garamond" w:hAnsi="Garamond" w:cs="Arial"/>
                <w:b/>
                <w:bCs/>
                <w:sz w:val="22"/>
                <w:szCs w:val="22"/>
                <w:lang w:val="en-CA"/>
              </w:rPr>
              <w:fldChar w:fldCharType="separate"/>
            </w:r>
            <w:r w:rsidR="00AF72C2" w:rsidRPr="00AF72C2">
              <w:rPr>
                <w:rFonts w:ascii="Garamond" w:hAnsi="Garamond" w:cs="Arial"/>
                <w:b/>
                <w:bCs/>
                <w:noProof/>
                <w:sz w:val="22"/>
                <w:szCs w:val="22"/>
                <w:lang w:val="en-CA"/>
              </w:rPr>
              <w:t>1</w:t>
            </w:r>
            <w:r w:rsidRPr="00AF72C2">
              <w:rPr>
                <w:rFonts w:ascii="Garamond" w:hAnsi="Garamond" w:cs="Arial"/>
                <w:b/>
                <w:bCs/>
                <w:sz w:val="22"/>
                <w:szCs w:val="22"/>
                <w:lang w:val="en-CA"/>
              </w:rPr>
              <w:fldChar w:fldCharType="end"/>
            </w:r>
            <w:bookmarkEnd w:id="3"/>
            <w:r w:rsidRPr="00AF72C2">
              <w:rPr>
                <w:rFonts w:ascii="Garamond" w:hAnsi="Garamond" w:cs="Arial"/>
                <w:b/>
                <w:bCs/>
                <w:sz w:val="22"/>
                <w:szCs w:val="22"/>
                <w:lang w:val="en-CA"/>
              </w:rPr>
              <w:t xml:space="preserve">: Conceptual framework for the costs of workplace injury </w:t>
            </w:r>
          </w:p>
        </w:tc>
      </w:tr>
      <w:tr w:rsidR="00921602" w:rsidRPr="00AF72C2" w:rsidTr="00921602">
        <w:trPr>
          <w:cantSplit/>
          <w:tblHeader/>
          <w:jc w:val="center"/>
        </w:trPr>
        <w:tc>
          <w:tcPr>
            <w:tcW w:w="2340" w:type="dxa"/>
            <w:tcBorders>
              <w:top w:val="single" w:sz="4" w:space="0" w:color="auto"/>
              <w:left w:val="single" w:sz="4" w:space="0" w:color="auto"/>
              <w:bottom w:val="single" w:sz="4" w:space="0" w:color="auto"/>
              <w:right w:val="single" w:sz="4" w:space="0" w:color="auto"/>
            </w:tcBorders>
          </w:tcPr>
          <w:p w:rsidR="00921602" w:rsidRPr="00AF72C2" w:rsidRDefault="00921602" w:rsidP="00921602">
            <w:pPr>
              <w:jc w:val="center"/>
              <w:rPr>
                <w:rFonts w:ascii="Garamond" w:hAnsi="Garamond" w:cs="Arial"/>
                <w:b/>
                <w:sz w:val="22"/>
                <w:szCs w:val="22"/>
                <w:lang w:val="en-CA"/>
              </w:rPr>
            </w:pPr>
          </w:p>
        </w:tc>
        <w:tc>
          <w:tcPr>
            <w:tcW w:w="3744" w:type="dxa"/>
            <w:tcBorders>
              <w:top w:val="single" w:sz="4" w:space="0" w:color="auto"/>
              <w:left w:val="single" w:sz="4" w:space="0" w:color="auto"/>
              <w:bottom w:val="single" w:sz="4" w:space="0" w:color="auto"/>
              <w:right w:val="single" w:sz="4" w:space="0" w:color="auto"/>
            </w:tcBorders>
          </w:tcPr>
          <w:p w:rsidR="00921602" w:rsidRPr="00AF72C2" w:rsidRDefault="00921602" w:rsidP="00921602">
            <w:pPr>
              <w:jc w:val="center"/>
              <w:rPr>
                <w:rFonts w:ascii="Garamond" w:hAnsi="Garamond" w:cs="Arial"/>
                <w:b/>
                <w:sz w:val="22"/>
                <w:szCs w:val="22"/>
                <w:lang w:val="en-CA"/>
              </w:rPr>
            </w:pPr>
            <w:r w:rsidRPr="00AF72C2">
              <w:rPr>
                <w:rFonts w:ascii="Garamond" w:hAnsi="Garamond" w:cs="Arial"/>
                <w:b/>
                <w:sz w:val="22"/>
                <w:szCs w:val="22"/>
                <w:lang w:val="en-CA"/>
              </w:rPr>
              <w:t>Direct (immediate) costs</w:t>
            </w:r>
          </w:p>
        </w:tc>
        <w:tc>
          <w:tcPr>
            <w:tcW w:w="4653" w:type="dxa"/>
            <w:tcBorders>
              <w:top w:val="single" w:sz="4" w:space="0" w:color="auto"/>
              <w:left w:val="single" w:sz="4" w:space="0" w:color="auto"/>
              <w:bottom w:val="single" w:sz="4" w:space="0" w:color="auto"/>
              <w:right w:val="single" w:sz="4" w:space="0" w:color="auto"/>
            </w:tcBorders>
          </w:tcPr>
          <w:p w:rsidR="00921602" w:rsidRPr="00AF72C2" w:rsidRDefault="00921602" w:rsidP="00921602">
            <w:pPr>
              <w:jc w:val="center"/>
              <w:rPr>
                <w:rFonts w:ascii="Garamond" w:hAnsi="Garamond" w:cs="Arial"/>
                <w:b/>
                <w:sz w:val="22"/>
                <w:szCs w:val="22"/>
                <w:lang w:val="en-CA"/>
              </w:rPr>
            </w:pPr>
            <w:r w:rsidRPr="00AF72C2">
              <w:rPr>
                <w:rFonts w:ascii="Garamond" w:hAnsi="Garamond" w:cs="Arial"/>
                <w:b/>
                <w:sz w:val="22"/>
                <w:szCs w:val="22"/>
                <w:lang w:val="en-CA"/>
              </w:rPr>
              <w:t>Indirect (longer-term) costs</w:t>
            </w:r>
          </w:p>
        </w:tc>
      </w:tr>
      <w:tr w:rsidR="00921602" w:rsidRPr="00AF72C2" w:rsidTr="00921602">
        <w:trPr>
          <w:jc w:val="center"/>
        </w:trPr>
        <w:tc>
          <w:tcPr>
            <w:tcW w:w="2340" w:type="dxa"/>
            <w:tcBorders>
              <w:top w:val="single" w:sz="4" w:space="0" w:color="auto"/>
              <w:left w:val="single" w:sz="4" w:space="0" w:color="auto"/>
              <w:bottom w:val="single" w:sz="4" w:space="0" w:color="auto"/>
              <w:right w:val="single" w:sz="4" w:space="0" w:color="auto"/>
            </w:tcBorders>
          </w:tcPr>
          <w:p w:rsidR="00921602" w:rsidRPr="00AF72C2" w:rsidRDefault="00921602" w:rsidP="00921602">
            <w:pPr>
              <w:rPr>
                <w:rFonts w:ascii="Garamond" w:hAnsi="Garamond" w:cs="Arial"/>
                <w:b/>
                <w:sz w:val="22"/>
                <w:szCs w:val="22"/>
                <w:lang w:val="en-CA"/>
              </w:rPr>
            </w:pPr>
            <w:r w:rsidRPr="00AF72C2">
              <w:rPr>
                <w:rFonts w:ascii="Garamond" w:hAnsi="Garamond" w:cs="Arial"/>
                <w:b/>
                <w:sz w:val="22"/>
                <w:szCs w:val="22"/>
                <w:lang w:val="en-CA"/>
              </w:rPr>
              <w:t>Financial costs</w:t>
            </w:r>
          </w:p>
        </w:tc>
        <w:tc>
          <w:tcPr>
            <w:tcW w:w="3744" w:type="dxa"/>
            <w:tcBorders>
              <w:top w:val="single" w:sz="4" w:space="0" w:color="auto"/>
              <w:left w:val="single" w:sz="4" w:space="0" w:color="auto"/>
              <w:bottom w:val="single" w:sz="4" w:space="0" w:color="auto"/>
              <w:right w:val="single" w:sz="4" w:space="0" w:color="auto"/>
            </w:tcBorders>
          </w:tcPr>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Workers’ compensation</w:t>
            </w: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Medical costs: emergency services, treatment, rehabilitation, and ongoing care</w:t>
            </w: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Lawsuit costs for employers (could be lumped into a general legal fees category with the legal costs for workers)</w:t>
            </w: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Administrative fees (compensation qualification, administration, legal, etc.)</w:t>
            </w: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Reduced savings/assets</w:t>
            </w:r>
          </w:p>
          <w:p w:rsidR="00921602" w:rsidRPr="00AF72C2" w:rsidRDefault="00921602" w:rsidP="00921602">
            <w:pPr>
              <w:spacing w:after="60"/>
              <w:rPr>
                <w:rFonts w:ascii="Garamond" w:hAnsi="Garamond" w:cs="Arial"/>
                <w:sz w:val="22"/>
                <w:szCs w:val="22"/>
                <w:lang w:val="en-CA"/>
              </w:rPr>
            </w:pPr>
          </w:p>
        </w:tc>
        <w:tc>
          <w:tcPr>
            <w:tcW w:w="4653" w:type="dxa"/>
            <w:tcBorders>
              <w:top w:val="single" w:sz="4" w:space="0" w:color="auto"/>
              <w:left w:val="single" w:sz="4" w:space="0" w:color="auto"/>
              <w:bottom w:val="single" w:sz="4" w:space="0" w:color="auto"/>
              <w:right w:val="single" w:sz="4" w:space="0" w:color="auto"/>
            </w:tcBorders>
          </w:tcPr>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lastRenderedPageBreak/>
              <w:t>Replacement training</w:t>
            </w:r>
          </w:p>
          <w:p w:rsidR="00E5737C" w:rsidRPr="00AF72C2" w:rsidRDefault="00921602" w:rsidP="00E5737C">
            <w:pPr>
              <w:spacing w:after="60"/>
              <w:rPr>
                <w:rFonts w:ascii="Garamond" w:hAnsi="Garamond" w:cs="Arial"/>
                <w:sz w:val="22"/>
                <w:szCs w:val="22"/>
                <w:lang w:val="en-CA"/>
              </w:rPr>
            </w:pPr>
            <w:r w:rsidRPr="00AF72C2">
              <w:rPr>
                <w:rFonts w:ascii="Garamond" w:hAnsi="Garamond" w:cs="Arial"/>
                <w:sz w:val="22"/>
                <w:szCs w:val="22"/>
                <w:lang w:val="en-CA"/>
              </w:rPr>
              <w:t>Replacement worker costs</w:t>
            </w:r>
          </w:p>
          <w:p w:rsidR="00E5737C" w:rsidRPr="00AF72C2" w:rsidRDefault="00E5737C" w:rsidP="00E5737C">
            <w:pPr>
              <w:spacing w:after="60"/>
              <w:rPr>
                <w:rFonts w:ascii="Garamond" w:hAnsi="Garamond" w:cs="Arial"/>
                <w:sz w:val="22"/>
                <w:szCs w:val="22"/>
                <w:lang w:val="en-CA"/>
              </w:rPr>
            </w:pPr>
            <w:r w:rsidRPr="00AF72C2">
              <w:rPr>
                <w:rFonts w:ascii="Garamond" w:hAnsi="Garamond" w:cs="Arial"/>
                <w:sz w:val="22"/>
                <w:szCs w:val="22"/>
                <w:lang w:val="en-CA"/>
              </w:rPr>
              <w:t>Medical costs (rehabilitation, and ongoing care</w:t>
            </w:r>
          </w:p>
          <w:p w:rsidR="00E5737C" w:rsidRPr="00AF72C2" w:rsidRDefault="00E5737C" w:rsidP="00921602">
            <w:pPr>
              <w:spacing w:after="60"/>
              <w:rPr>
                <w:rFonts w:ascii="Garamond" w:hAnsi="Garamond" w:cs="Arial"/>
                <w:sz w:val="22"/>
                <w:szCs w:val="22"/>
                <w:lang w:val="en-CA"/>
              </w:rPr>
            </w:pP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Retraining of returning workers</w:t>
            </w: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Workplace safety enhancements</w:t>
            </w: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Capital loses (damage due to or a consequent of the accident)</w:t>
            </w: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Work interruption and productivity losses</w:t>
            </w: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lastRenderedPageBreak/>
              <w:t>Lost wages/productivity for carers</w:t>
            </w: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Costs of home modifications</w:t>
            </w: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Costs of disability support tools (crutches, wheelchairs, computers, etc.)</w:t>
            </w:r>
          </w:p>
          <w:p w:rsidR="00921602" w:rsidRPr="00AF72C2" w:rsidRDefault="00921602" w:rsidP="00921602">
            <w:pPr>
              <w:spacing w:after="60"/>
              <w:rPr>
                <w:rFonts w:ascii="Garamond" w:hAnsi="Garamond" w:cs="Arial"/>
                <w:sz w:val="22"/>
                <w:szCs w:val="22"/>
                <w:lang w:val="en-CA"/>
              </w:rPr>
            </w:pPr>
            <w:r w:rsidRPr="00AF72C2">
              <w:rPr>
                <w:rFonts w:ascii="Garamond" w:hAnsi="Garamond" w:cs="Arial"/>
                <w:sz w:val="22"/>
                <w:szCs w:val="22"/>
                <w:lang w:val="en-CA"/>
              </w:rPr>
              <w:t>Social assistance (income replacement/welfare) programs</w:t>
            </w:r>
          </w:p>
        </w:tc>
      </w:tr>
      <w:tr w:rsidR="00921602" w:rsidRPr="00AF72C2" w:rsidTr="00921602">
        <w:trPr>
          <w:trHeight w:val="2132"/>
          <w:jc w:val="center"/>
        </w:trPr>
        <w:tc>
          <w:tcPr>
            <w:tcW w:w="2340" w:type="dxa"/>
            <w:tcBorders>
              <w:top w:val="single" w:sz="4" w:space="0" w:color="auto"/>
              <w:left w:val="single" w:sz="4" w:space="0" w:color="auto"/>
              <w:bottom w:val="single" w:sz="4" w:space="0" w:color="auto"/>
              <w:right w:val="single" w:sz="4" w:space="0" w:color="auto"/>
            </w:tcBorders>
          </w:tcPr>
          <w:p w:rsidR="00921602" w:rsidRPr="00AF72C2" w:rsidRDefault="00921602" w:rsidP="00921602">
            <w:pPr>
              <w:rPr>
                <w:rFonts w:ascii="Garamond" w:hAnsi="Garamond" w:cs="Arial"/>
                <w:b/>
                <w:sz w:val="22"/>
                <w:szCs w:val="22"/>
                <w:lang w:val="en-CA"/>
              </w:rPr>
            </w:pPr>
            <w:r w:rsidRPr="00AF72C2">
              <w:rPr>
                <w:rFonts w:ascii="Garamond" w:hAnsi="Garamond" w:cs="Arial"/>
                <w:b/>
                <w:sz w:val="22"/>
                <w:szCs w:val="22"/>
                <w:lang w:val="en-CA"/>
              </w:rPr>
              <w:lastRenderedPageBreak/>
              <w:t>Economic (full) costs</w:t>
            </w:r>
          </w:p>
        </w:tc>
        <w:tc>
          <w:tcPr>
            <w:tcW w:w="3744" w:type="dxa"/>
            <w:tcBorders>
              <w:top w:val="single" w:sz="4" w:space="0" w:color="auto"/>
              <w:left w:val="single" w:sz="4" w:space="0" w:color="auto"/>
              <w:bottom w:val="single" w:sz="4" w:space="0" w:color="auto"/>
              <w:right w:val="single" w:sz="4" w:space="0" w:color="auto"/>
            </w:tcBorders>
          </w:tcPr>
          <w:p w:rsidR="00921602" w:rsidRPr="00AF72C2" w:rsidRDefault="00921602" w:rsidP="00921602">
            <w:pPr>
              <w:spacing w:after="120"/>
              <w:rPr>
                <w:rFonts w:ascii="Garamond" w:hAnsi="Garamond" w:cs="Arial"/>
                <w:sz w:val="22"/>
                <w:szCs w:val="22"/>
                <w:lang w:val="en-CA"/>
              </w:rPr>
            </w:pPr>
            <w:r w:rsidRPr="00AF72C2">
              <w:rPr>
                <w:rFonts w:ascii="Garamond" w:hAnsi="Garamond" w:cs="Arial"/>
                <w:sz w:val="22"/>
                <w:szCs w:val="22"/>
                <w:lang w:val="en-CA"/>
              </w:rPr>
              <w:t>Financial costs + intangibles such as:</w:t>
            </w:r>
          </w:p>
          <w:p w:rsidR="00921602" w:rsidRPr="00AF72C2" w:rsidRDefault="00921602" w:rsidP="00921602">
            <w:pPr>
              <w:numPr>
                <w:ilvl w:val="0"/>
                <w:numId w:val="13"/>
              </w:numPr>
              <w:spacing w:after="120"/>
              <w:ind w:left="322" w:hanging="284"/>
              <w:contextualSpacing/>
              <w:rPr>
                <w:rFonts w:ascii="Garamond" w:eastAsiaTheme="minorHAnsi" w:hAnsi="Garamond" w:cs="Arial"/>
                <w:sz w:val="22"/>
                <w:szCs w:val="22"/>
                <w:lang w:val="en-CA"/>
              </w:rPr>
            </w:pPr>
            <w:r w:rsidRPr="00AF72C2">
              <w:rPr>
                <w:rFonts w:ascii="Garamond" w:eastAsiaTheme="minorHAnsi" w:hAnsi="Garamond" w:cs="Arial"/>
                <w:sz w:val="22"/>
                <w:szCs w:val="22"/>
                <w:lang w:val="en-CA"/>
              </w:rPr>
              <w:t>Reduced quality of life for injured workers</w:t>
            </w:r>
          </w:p>
          <w:p w:rsidR="00921602" w:rsidRPr="00AF72C2" w:rsidRDefault="00921602" w:rsidP="00921602">
            <w:pPr>
              <w:numPr>
                <w:ilvl w:val="0"/>
                <w:numId w:val="13"/>
              </w:numPr>
              <w:spacing w:after="120"/>
              <w:ind w:left="322" w:hanging="284"/>
              <w:contextualSpacing/>
              <w:rPr>
                <w:rFonts w:ascii="Garamond" w:eastAsiaTheme="minorHAnsi" w:hAnsi="Garamond" w:cs="Arial"/>
                <w:sz w:val="22"/>
                <w:szCs w:val="22"/>
                <w:lang w:val="en-CA"/>
              </w:rPr>
            </w:pPr>
            <w:r w:rsidRPr="00AF72C2">
              <w:rPr>
                <w:rFonts w:ascii="Garamond" w:eastAsiaTheme="minorHAnsi" w:hAnsi="Garamond" w:cs="Arial"/>
                <w:sz w:val="22"/>
                <w:szCs w:val="22"/>
                <w:lang w:val="en-CA"/>
              </w:rPr>
              <w:t>Stress, depression, trauma, other mental/emotional costs for workers</w:t>
            </w:r>
          </w:p>
          <w:p w:rsidR="00921602" w:rsidRPr="00AF72C2" w:rsidRDefault="00921602" w:rsidP="00921602">
            <w:pPr>
              <w:numPr>
                <w:ilvl w:val="0"/>
                <w:numId w:val="13"/>
              </w:numPr>
              <w:spacing w:after="120"/>
              <w:ind w:left="322" w:hanging="284"/>
              <w:contextualSpacing/>
              <w:rPr>
                <w:rFonts w:ascii="Garamond" w:eastAsiaTheme="minorHAnsi" w:hAnsi="Garamond" w:cs="Arial"/>
                <w:sz w:val="22"/>
                <w:szCs w:val="22"/>
                <w:lang w:val="en-CA"/>
              </w:rPr>
            </w:pPr>
            <w:r w:rsidRPr="00AF72C2">
              <w:rPr>
                <w:rFonts w:ascii="Garamond" w:eastAsiaTheme="minorHAnsi" w:hAnsi="Garamond" w:cs="Arial"/>
                <w:sz w:val="22"/>
                <w:szCs w:val="22"/>
                <w:lang w:val="en-CA"/>
              </w:rPr>
              <w:t>Pain and suffering</w:t>
            </w:r>
          </w:p>
          <w:p w:rsidR="00921602" w:rsidRPr="00AF72C2" w:rsidRDefault="00921602" w:rsidP="00921602">
            <w:pPr>
              <w:numPr>
                <w:ilvl w:val="0"/>
                <w:numId w:val="13"/>
              </w:numPr>
              <w:spacing w:after="120"/>
              <w:ind w:left="322" w:hanging="284"/>
              <w:contextualSpacing/>
              <w:rPr>
                <w:rFonts w:ascii="Garamond" w:eastAsiaTheme="minorHAnsi" w:hAnsi="Garamond" w:cs="Arial"/>
                <w:sz w:val="22"/>
                <w:szCs w:val="22"/>
                <w:lang w:val="en-CA"/>
              </w:rPr>
            </w:pPr>
            <w:r w:rsidRPr="00AF72C2">
              <w:rPr>
                <w:rFonts w:ascii="Garamond" w:eastAsiaTheme="minorHAnsi" w:hAnsi="Garamond" w:cs="Arial"/>
                <w:sz w:val="22"/>
                <w:szCs w:val="22"/>
                <w:lang w:val="en-CA"/>
              </w:rPr>
              <w:t>Reduced confidence/self-esteem</w:t>
            </w:r>
          </w:p>
          <w:p w:rsidR="00921602" w:rsidRPr="00AF72C2" w:rsidRDefault="00921602" w:rsidP="00921602">
            <w:pPr>
              <w:numPr>
                <w:ilvl w:val="0"/>
                <w:numId w:val="13"/>
              </w:numPr>
              <w:spacing w:after="120"/>
              <w:ind w:left="322" w:hanging="284"/>
              <w:contextualSpacing/>
              <w:rPr>
                <w:rFonts w:ascii="Garamond" w:eastAsiaTheme="minorHAnsi" w:hAnsi="Garamond" w:cs="Arial"/>
                <w:sz w:val="22"/>
                <w:szCs w:val="22"/>
                <w:lang w:val="en-CA"/>
              </w:rPr>
            </w:pPr>
            <w:r w:rsidRPr="00AF72C2">
              <w:rPr>
                <w:rFonts w:ascii="Garamond" w:eastAsiaTheme="minorHAnsi" w:hAnsi="Garamond" w:cs="Arial"/>
                <w:sz w:val="22"/>
                <w:szCs w:val="22"/>
                <w:lang w:val="en-CA"/>
              </w:rPr>
              <w:t>Job dissatisfaction</w:t>
            </w:r>
          </w:p>
          <w:p w:rsidR="00921602" w:rsidRPr="00AF72C2" w:rsidRDefault="00921602" w:rsidP="00921602">
            <w:pPr>
              <w:numPr>
                <w:ilvl w:val="0"/>
                <w:numId w:val="13"/>
              </w:numPr>
              <w:spacing w:after="120"/>
              <w:ind w:left="322" w:hanging="284"/>
              <w:contextualSpacing/>
              <w:rPr>
                <w:rFonts w:ascii="Garamond" w:eastAsiaTheme="minorHAnsi" w:hAnsi="Garamond" w:cs="Arial"/>
                <w:sz w:val="22"/>
                <w:szCs w:val="22"/>
                <w:lang w:val="en-CA"/>
              </w:rPr>
            </w:pPr>
            <w:r w:rsidRPr="00AF72C2">
              <w:rPr>
                <w:rFonts w:ascii="Garamond" w:eastAsiaTheme="minorHAnsi" w:hAnsi="Garamond" w:cs="Arial"/>
                <w:sz w:val="22"/>
                <w:szCs w:val="22"/>
                <w:lang w:val="en-CA"/>
              </w:rPr>
              <w:t>Reduced trust in management</w:t>
            </w:r>
          </w:p>
        </w:tc>
        <w:tc>
          <w:tcPr>
            <w:tcW w:w="4653" w:type="dxa"/>
            <w:tcBorders>
              <w:top w:val="single" w:sz="4" w:space="0" w:color="auto"/>
              <w:left w:val="single" w:sz="4" w:space="0" w:color="auto"/>
              <w:bottom w:val="single" w:sz="4" w:space="0" w:color="auto"/>
              <w:right w:val="single" w:sz="4" w:space="0" w:color="auto"/>
            </w:tcBorders>
          </w:tcPr>
          <w:p w:rsidR="00921602" w:rsidRPr="00AF72C2" w:rsidRDefault="00921602" w:rsidP="00921602">
            <w:pPr>
              <w:spacing w:after="120"/>
              <w:rPr>
                <w:rFonts w:ascii="Garamond" w:hAnsi="Garamond" w:cs="Arial"/>
                <w:sz w:val="22"/>
                <w:szCs w:val="22"/>
                <w:lang w:val="en-CA"/>
              </w:rPr>
            </w:pPr>
            <w:r w:rsidRPr="00AF72C2">
              <w:rPr>
                <w:rFonts w:ascii="Garamond" w:hAnsi="Garamond" w:cs="Arial"/>
                <w:sz w:val="22"/>
                <w:szCs w:val="22"/>
                <w:lang w:val="en-CA"/>
              </w:rPr>
              <w:t>Financial costs + intangibles such as:</w:t>
            </w:r>
          </w:p>
          <w:p w:rsidR="00921602" w:rsidRPr="00AF72C2" w:rsidRDefault="00921602" w:rsidP="00921602">
            <w:pPr>
              <w:numPr>
                <w:ilvl w:val="0"/>
                <w:numId w:val="13"/>
              </w:numPr>
              <w:spacing w:after="120"/>
              <w:ind w:left="322" w:hanging="284"/>
              <w:contextualSpacing/>
              <w:rPr>
                <w:rFonts w:ascii="Garamond" w:eastAsiaTheme="minorHAnsi" w:hAnsi="Garamond" w:cs="Arial"/>
                <w:sz w:val="22"/>
                <w:szCs w:val="22"/>
                <w:lang w:val="en-CA"/>
              </w:rPr>
            </w:pPr>
            <w:r w:rsidRPr="00AF72C2">
              <w:rPr>
                <w:rFonts w:ascii="Garamond" w:eastAsiaTheme="minorHAnsi" w:hAnsi="Garamond" w:cs="Arial"/>
                <w:sz w:val="22"/>
                <w:szCs w:val="22"/>
                <w:lang w:val="en-CA"/>
              </w:rPr>
              <w:t>Social services (in kind services for people with disabilities) expenditures</w:t>
            </w:r>
          </w:p>
          <w:p w:rsidR="00921602" w:rsidRPr="00AF72C2" w:rsidRDefault="00921602" w:rsidP="00921602">
            <w:pPr>
              <w:numPr>
                <w:ilvl w:val="0"/>
                <w:numId w:val="13"/>
              </w:numPr>
              <w:spacing w:after="120"/>
              <w:ind w:left="322" w:hanging="284"/>
              <w:contextualSpacing/>
              <w:rPr>
                <w:rFonts w:ascii="Garamond" w:eastAsiaTheme="minorHAnsi" w:hAnsi="Garamond" w:cs="Arial"/>
                <w:sz w:val="22"/>
                <w:szCs w:val="22"/>
                <w:lang w:val="en-CA"/>
              </w:rPr>
            </w:pPr>
            <w:r w:rsidRPr="00AF72C2">
              <w:rPr>
                <w:rFonts w:ascii="Garamond" w:eastAsiaTheme="minorHAnsi" w:hAnsi="Garamond" w:cs="Arial"/>
                <w:sz w:val="22"/>
                <w:szCs w:val="22"/>
                <w:lang w:val="en-CA"/>
              </w:rPr>
              <w:t>Reduced quality of life for carers</w:t>
            </w:r>
          </w:p>
          <w:p w:rsidR="00E5737C" w:rsidRPr="00AF72C2" w:rsidRDefault="00921602" w:rsidP="00E5737C">
            <w:pPr>
              <w:spacing w:after="60"/>
              <w:rPr>
                <w:rFonts w:ascii="Garamond" w:hAnsi="Garamond" w:cs="Arial"/>
                <w:sz w:val="22"/>
                <w:szCs w:val="22"/>
                <w:lang w:val="en-CA"/>
              </w:rPr>
            </w:pPr>
            <w:r w:rsidRPr="00AF72C2">
              <w:rPr>
                <w:rFonts w:ascii="Garamond" w:eastAsiaTheme="minorHAnsi" w:hAnsi="Garamond" w:cs="Arial"/>
                <w:sz w:val="22"/>
                <w:szCs w:val="22"/>
                <w:lang w:val="en-CA"/>
              </w:rPr>
              <w:t>Stress, depression, other mental/emotional costs for carers</w:t>
            </w:r>
            <w:r w:rsidR="00E5737C" w:rsidRPr="00AF72C2">
              <w:rPr>
                <w:rFonts w:ascii="Garamond" w:hAnsi="Garamond" w:cs="Arial"/>
                <w:sz w:val="22"/>
                <w:szCs w:val="22"/>
                <w:lang w:val="en-CA"/>
              </w:rPr>
              <w:t xml:space="preserve"> </w:t>
            </w:r>
          </w:p>
          <w:p w:rsidR="00E5737C" w:rsidRPr="00AF72C2" w:rsidRDefault="00E5737C" w:rsidP="00E5737C">
            <w:pPr>
              <w:numPr>
                <w:ilvl w:val="0"/>
                <w:numId w:val="13"/>
              </w:numPr>
              <w:spacing w:after="120"/>
              <w:ind w:left="322" w:hanging="284"/>
              <w:contextualSpacing/>
              <w:rPr>
                <w:rFonts w:ascii="Garamond" w:hAnsi="Garamond" w:cs="Arial"/>
                <w:sz w:val="22"/>
                <w:szCs w:val="22"/>
                <w:lang w:val="en-CA"/>
              </w:rPr>
            </w:pPr>
            <w:r w:rsidRPr="00AF72C2">
              <w:rPr>
                <w:rFonts w:ascii="Garamond" w:hAnsi="Garamond" w:cs="Arial"/>
                <w:sz w:val="22"/>
                <w:szCs w:val="22"/>
                <w:lang w:val="en-CA"/>
              </w:rPr>
              <w:t>Employee morale</w:t>
            </w:r>
          </w:p>
          <w:p w:rsidR="00921602" w:rsidRPr="00AF72C2" w:rsidRDefault="00E5737C" w:rsidP="00E5737C">
            <w:pPr>
              <w:numPr>
                <w:ilvl w:val="0"/>
                <w:numId w:val="13"/>
              </w:numPr>
              <w:spacing w:after="120"/>
              <w:ind w:left="322" w:hanging="284"/>
              <w:contextualSpacing/>
              <w:rPr>
                <w:rFonts w:ascii="Garamond" w:hAnsi="Garamond" w:cs="Arial"/>
                <w:sz w:val="22"/>
                <w:szCs w:val="22"/>
                <w:lang w:val="en-CA"/>
              </w:rPr>
            </w:pPr>
            <w:r w:rsidRPr="00AF72C2">
              <w:rPr>
                <w:rFonts w:ascii="Garamond" w:hAnsi="Garamond" w:cs="Arial"/>
                <w:sz w:val="22"/>
                <w:szCs w:val="22"/>
                <w:lang w:val="en-CA"/>
              </w:rPr>
              <w:t>Customer relations and firm reputational losses</w:t>
            </w:r>
          </w:p>
          <w:p w:rsidR="00921602" w:rsidRPr="00AF72C2" w:rsidRDefault="00921602" w:rsidP="00921602">
            <w:pPr>
              <w:numPr>
                <w:ilvl w:val="0"/>
                <w:numId w:val="13"/>
              </w:numPr>
              <w:spacing w:after="120"/>
              <w:ind w:left="322" w:hanging="284"/>
              <w:contextualSpacing/>
              <w:rPr>
                <w:rFonts w:ascii="Garamond" w:eastAsiaTheme="minorHAnsi" w:hAnsi="Garamond" w:cs="Arial"/>
                <w:sz w:val="22"/>
                <w:szCs w:val="22"/>
                <w:lang w:val="en-CA"/>
              </w:rPr>
            </w:pPr>
            <w:r w:rsidRPr="00AF72C2">
              <w:rPr>
                <w:rFonts w:ascii="Garamond" w:eastAsiaTheme="minorHAnsi" w:hAnsi="Garamond" w:cs="Arial"/>
                <w:sz w:val="22"/>
                <w:szCs w:val="22"/>
                <w:lang w:val="en-CA"/>
              </w:rPr>
              <w:t>Forgone education for carers</w:t>
            </w:r>
          </w:p>
        </w:tc>
      </w:tr>
    </w:tbl>
    <w:p w:rsidR="00921602" w:rsidRPr="00C239D4" w:rsidRDefault="00921602" w:rsidP="00921602">
      <w:pPr>
        <w:rPr>
          <w:rFonts w:ascii="Garamond" w:hAnsi="Garamond"/>
          <w:sz w:val="28"/>
          <w:szCs w:val="28"/>
          <w:lang w:val="en-CA"/>
        </w:rPr>
      </w:pPr>
    </w:p>
    <w:p w:rsidR="00921602" w:rsidRPr="00B81118" w:rsidRDefault="00921602" w:rsidP="00921602">
      <w:pPr>
        <w:autoSpaceDE w:val="0"/>
        <w:autoSpaceDN w:val="0"/>
        <w:adjustRightInd w:val="0"/>
        <w:spacing w:after="240"/>
        <w:rPr>
          <w:rFonts w:ascii="Garamond" w:eastAsiaTheme="minorHAnsi" w:hAnsi="Garamond"/>
          <w:color w:val="000000"/>
          <w:lang w:val="en-CA"/>
        </w:rPr>
      </w:pPr>
      <w:r w:rsidRPr="00B81118">
        <w:rPr>
          <w:rFonts w:ascii="Garamond" w:eastAsiaTheme="minorHAnsi" w:hAnsi="Garamond"/>
          <w:iCs/>
          <w:color w:val="000000"/>
          <w:lang w:val="en-CA"/>
        </w:rPr>
        <w:t xml:space="preserve">From this framework, financial costs are those easily </w:t>
      </w:r>
      <w:r w:rsidRPr="00B81118">
        <w:rPr>
          <w:rFonts w:ascii="Garamond" w:eastAsiaTheme="minorHAnsi" w:hAnsi="Garamond"/>
          <w:color w:val="000000"/>
          <w:lang w:val="en-CA"/>
        </w:rPr>
        <w:t>expressed in monetary terms, and most commonly, these are forgone wages due to absence from work, and medical costs needed to treat and rehabilitate the worker. Other financial costs include legal, retraining, replacement of lost wages, and social services. Economic costs are financial costs plus a range of tangible and intangible outcomes, not readily expressed in monetary terms.</w:t>
      </w:r>
      <w:r w:rsidR="000115BF" w:rsidRPr="00B81118">
        <w:rPr>
          <w:rFonts w:ascii="Garamond" w:eastAsiaTheme="minorHAnsi" w:hAnsi="Garamond"/>
          <w:color w:val="000000"/>
          <w:lang w:val="en-CA"/>
        </w:rPr>
        <w:t xml:space="preserve">  </w:t>
      </w:r>
    </w:p>
    <w:p w:rsidR="00921602" w:rsidRPr="00B81118" w:rsidRDefault="00921602" w:rsidP="00921602">
      <w:pPr>
        <w:autoSpaceDE w:val="0"/>
        <w:autoSpaceDN w:val="0"/>
        <w:adjustRightInd w:val="0"/>
        <w:spacing w:after="240"/>
        <w:rPr>
          <w:rFonts w:ascii="Garamond" w:eastAsiaTheme="minorHAnsi" w:hAnsi="Garamond"/>
          <w:color w:val="000000"/>
          <w:lang w:val="en-CA"/>
        </w:rPr>
      </w:pPr>
      <w:r w:rsidRPr="00B81118">
        <w:rPr>
          <w:rFonts w:ascii="Garamond" w:eastAsiaTheme="minorHAnsi" w:hAnsi="Garamond"/>
          <w:color w:val="000000"/>
          <w:lang w:val="en-CA"/>
        </w:rPr>
        <w:t xml:space="preserve">Researchers have long recognized that economic costs, especially the intangible costs experienced by the injured worker and his/her family, are potentially the most important consequences of workplace accidents. Key writings, such as </w:t>
      </w:r>
      <w:proofErr w:type="spellStart"/>
      <w:r w:rsidRPr="00B81118">
        <w:rPr>
          <w:rFonts w:ascii="Garamond" w:eastAsiaTheme="minorHAnsi" w:hAnsi="Garamond"/>
          <w:color w:val="000000"/>
          <w:lang w:val="en-CA"/>
        </w:rPr>
        <w:t>Dembe</w:t>
      </w:r>
      <w:proofErr w:type="spellEnd"/>
      <w:r w:rsidRPr="00B81118">
        <w:rPr>
          <w:rFonts w:ascii="Garamond" w:eastAsiaTheme="minorHAnsi" w:hAnsi="Garamond"/>
          <w:color w:val="000000"/>
          <w:lang w:val="en-CA"/>
        </w:rPr>
        <w:t xml:space="preserve"> </w:t>
      </w:r>
      <w:r w:rsidRPr="00B81118">
        <w:rPr>
          <w:rFonts w:ascii="Garamond" w:eastAsiaTheme="minorHAnsi" w:hAnsi="Garamond"/>
          <w:color w:val="000000"/>
          <w:lang w:val="en-CA"/>
        </w:rPr>
        <w:fldChar w:fldCharType="begin"/>
      </w:r>
      <w:r w:rsidRPr="00B81118">
        <w:rPr>
          <w:rFonts w:ascii="Garamond" w:eastAsiaTheme="minorHAnsi" w:hAnsi="Garamond"/>
          <w:color w:val="000000"/>
          <w:lang w:val="en-CA"/>
        </w:rPr>
        <w:instrText xml:space="preserve"> ADDIN ZOTERO_ITEM CSL_CITATION {"citationID":"xoGZPRse","properties":{"formattedCitation":"(2001)","plainCitation":"(2001)"},"citationItems":[{"id":81,"uris":["http://zotero.org/users/2456724/items/TZ8CBFMJ"],"uri":["http://zotero.org/users/2456724/items/TZ8CBFMJ"],"itemData":{"id":81,"type":"article-journal","title":"The Social Consequences of Occupational Injuries and Illnesses","container-title":"American journal of industrial medicine","page":"403–417","volume":"40","issue":"4","source":"Google Scholar","author":[{"family":"Dembe","given":"Allard E."}],"issued":{"date-parts":[["2001"]]},"accessed":{"date-parts":[["2015",5,2]]}},"suppress-author":true}],"schema":"https://github.com/citation-style-language/schema/raw/master/csl-citation.json"} </w:instrText>
      </w:r>
      <w:r w:rsidRPr="00B81118">
        <w:rPr>
          <w:rFonts w:ascii="Garamond" w:eastAsiaTheme="minorHAnsi" w:hAnsi="Garamond"/>
          <w:color w:val="000000"/>
          <w:lang w:val="en-CA"/>
        </w:rPr>
        <w:fldChar w:fldCharType="separate"/>
      </w:r>
      <w:r w:rsidRPr="00B81118">
        <w:rPr>
          <w:rFonts w:ascii="Garamond" w:eastAsiaTheme="minorHAnsi" w:hAnsi="Garamond"/>
          <w:color w:val="000000"/>
          <w:lang w:val="en-CA"/>
        </w:rPr>
        <w:t>(2001)</w:t>
      </w:r>
      <w:r w:rsidRPr="00B81118">
        <w:rPr>
          <w:rFonts w:ascii="Garamond" w:eastAsiaTheme="minorHAnsi" w:hAnsi="Garamond"/>
          <w:color w:val="000000"/>
          <w:lang w:val="en-CA"/>
        </w:rPr>
        <w:fldChar w:fldCharType="end"/>
      </w:r>
      <w:r w:rsidRPr="00B81118">
        <w:rPr>
          <w:rFonts w:ascii="Garamond" w:eastAsiaTheme="minorHAnsi" w:hAnsi="Garamond"/>
          <w:color w:val="000000"/>
          <w:lang w:val="en-CA"/>
        </w:rPr>
        <w:t xml:space="preserve">, Boden and </w:t>
      </w:r>
      <w:proofErr w:type="spellStart"/>
      <w:r w:rsidRPr="00B81118">
        <w:rPr>
          <w:rFonts w:ascii="Garamond" w:eastAsiaTheme="minorHAnsi" w:hAnsi="Garamond"/>
          <w:color w:val="000000"/>
          <w:lang w:val="en-CA"/>
        </w:rPr>
        <w:t>Galizzi</w:t>
      </w:r>
      <w:proofErr w:type="spellEnd"/>
      <w:r w:rsidRPr="00B81118">
        <w:rPr>
          <w:rFonts w:ascii="Garamond" w:eastAsiaTheme="minorHAnsi" w:hAnsi="Garamond"/>
          <w:color w:val="000000"/>
          <w:lang w:val="en-CA"/>
        </w:rPr>
        <w:t xml:space="preserve"> </w:t>
      </w:r>
      <w:r w:rsidRPr="00B81118">
        <w:rPr>
          <w:rFonts w:ascii="Garamond" w:eastAsiaTheme="minorHAnsi" w:hAnsi="Garamond"/>
          <w:color w:val="000000"/>
          <w:lang w:val="en-CA"/>
        </w:rPr>
        <w:fldChar w:fldCharType="begin"/>
      </w:r>
      <w:r w:rsidRPr="00B81118">
        <w:rPr>
          <w:rFonts w:ascii="Garamond" w:eastAsiaTheme="minorHAnsi" w:hAnsi="Garamond"/>
          <w:color w:val="000000"/>
          <w:lang w:val="en-CA"/>
        </w:rPr>
        <w:instrText xml:space="preserve"> ADDIN ZOTERO_ITEM CSL_CITATION {"citationID":"FBFR7tEE","properties":{"formattedCitation":"(2001)","plainCitation":"(2001)"},"citationItems":[{"id":76,"uris":["http://zotero.org/users/2456724/items/BWV535N8"],"uri":["http://zotero.org/users/2456724/items/BWV535N8"],"itemData":{"id":76,"type":"article-journal","title":"Social and Economic Impacts of Workplace Illness and Injury: Current and Future Directions for Research","container-title":"American journal of industrial medicine","page":"398–402","volume":"40","issue":"4","source":"Google Scholar","shortTitle":"Social and economic impacts of workplace illness and injury","author":[{"family":"Boden","given":"Leslie I."},{"family":"Biddle","given":"Elyce A."},{"family":"Spieler","given":"Emily A."}],"issued":{"date-parts":[["2001"]]},"accessed":{"date-parts":[["2015",5,2]]}},"suppress-author":true}],"schema":"https://github.com/citation-style-language/schema/raw/master/csl-citation.json"} </w:instrText>
      </w:r>
      <w:r w:rsidRPr="00B81118">
        <w:rPr>
          <w:rFonts w:ascii="Garamond" w:eastAsiaTheme="minorHAnsi" w:hAnsi="Garamond"/>
          <w:color w:val="000000"/>
          <w:lang w:val="en-CA"/>
        </w:rPr>
        <w:fldChar w:fldCharType="separate"/>
      </w:r>
      <w:r w:rsidRPr="00B81118">
        <w:rPr>
          <w:rFonts w:ascii="Garamond" w:eastAsiaTheme="minorHAnsi" w:hAnsi="Garamond"/>
          <w:color w:val="000000"/>
          <w:lang w:val="en-CA"/>
        </w:rPr>
        <w:t>(2001)</w:t>
      </w:r>
      <w:r w:rsidRPr="00B81118">
        <w:rPr>
          <w:rFonts w:ascii="Garamond" w:eastAsiaTheme="minorHAnsi" w:hAnsi="Garamond"/>
          <w:color w:val="000000"/>
          <w:lang w:val="en-CA"/>
        </w:rPr>
        <w:fldChar w:fldCharType="end"/>
      </w:r>
      <w:r w:rsidRPr="00B81118">
        <w:rPr>
          <w:rFonts w:ascii="Garamond" w:eastAsiaTheme="minorHAnsi" w:hAnsi="Garamond"/>
          <w:color w:val="000000"/>
          <w:lang w:val="en-CA"/>
        </w:rPr>
        <w:t xml:space="preserve"> and Revile et al </w:t>
      </w:r>
      <w:r w:rsidRPr="00B81118">
        <w:rPr>
          <w:rFonts w:ascii="Garamond" w:eastAsiaTheme="minorHAnsi" w:hAnsi="Garamond"/>
          <w:color w:val="000000"/>
          <w:lang w:val="en-CA"/>
        </w:rPr>
        <w:fldChar w:fldCharType="begin"/>
      </w:r>
      <w:r w:rsidRPr="00B81118">
        <w:rPr>
          <w:rFonts w:ascii="Garamond" w:eastAsiaTheme="minorHAnsi" w:hAnsi="Garamond"/>
          <w:color w:val="000000"/>
          <w:lang w:val="en-CA"/>
        </w:rPr>
        <w:instrText xml:space="preserve"> ADDIN ZOTERO_ITEM CSL_CITATION {"citationID":"lVztxevT","properties":{"formattedCitation":"(2001)","plainCitation":"(2001)"},"citationItems":[{"id":96,"uris":["http://zotero.org/users/2456724/items/ZE2EKG7J"],"uri":["http://zotero.org/users/2456724/items/ZE2EKG7J"],"itemData":{"id":96,"type":"article-journal","title":"New Methods and Data Sources for Measuring Economic Consequences of Workplace Injuries","container-title":"American journal of industrial medicine","page":"452–463","volume":"40","issue":"4","source":"Google Scholar","author":[{"family":"Reville","given":"Robert T."},{"family":"Bhattacharya","given":"Jayanta"},{"family":"Sager Weinstein","given":"Lauren R."}],"issued":{"date-parts":[["2001"]]},"accessed":{"date-parts":[["2015",5,2]]}},"suppress-author":true}],"schema":"https://github.com/citation-style-language/schema/raw/master/csl-citation.json"} </w:instrText>
      </w:r>
      <w:r w:rsidRPr="00B81118">
        <w:rPr>
          <w:rFonts w:ascii="Garamond" w:eastAsiaTheme="minorHAnsi" w:hAnsi="Garamond"/>
          <w:color w:val="000000"/>
          <w:lang w:val="en-CA"/>
        </w:rPr>
        <w:fldChar w:fldCharType="separate"/>
      </w:r>
      <w:r w:rsidRPr="00B81118">
        <w:rPr>
          <w:rFonts w:ascii="Garamond" w:eastAsiaTheme="minorHAnsi" w:hAnsi="Garamond"/>
          <w:color w:val="000000"/>
          <w:lang w:val="en-CA"/>
        </w:rPr>
        <w:t>(2001)</w:t>
      </w:r>
      <w:r w:rsidRPr="00B81118">
        <w:rPr>
          <w:rFonts w:ascii="Garamond" w:eastAsiaTheme="minorHAnsi" w:hAnsi="Garamond"/>
          <w:color w:val="000000"/>
          <w:lang w:val="en-CA"/>
        </w:rPr>
        <w:fldChar w:fldCharType="end"/>
      </w:r>
      <w:r w:rsidRPr="00B81118">
        <w:rPr>
          <w:rFonts w:ascii="Garamond" w:eastAsiaTheme="minorHAnsi" w:hAnsi="Garamond"/>
          <w:color w:val="000000"/>
          <w:lang w:val="en-CA"/>
        </w:rPr>
        <w:t xml:space="preserve">, are examples of studies that raised this perspective. More recent work appears in </w:t>
      </w:r>
      <w:proofErr w:type="spellStart"/>
      <w:r w:rsidRPr="00B81118">
        <w:rPr>
          <w:rFonts w:ascii="Garamond" w:eastAsiaTheme="minorHAnsi" w:hAnsi="Garamond"/>
          <w:color w:val="000000"/>
          <w:lang w:val="en-CA"/>
        </w:rPr>
        <w:t>Pouliakis</w:t>
      </w:r>
      <w:proofErr w:type="spellEnd"/>
      <w:r w:rsidRPr="00B81118">
        <w:rPr>
          <w:rFonts w:ascii="Garamond" w:eastAsiaTheme="minorHAnsi" w:hAnsi="Garamond"/>
          <w:color w:val="000000"/>
          <w:lang w:val="en-CA"/>
        </w:rPr>
        <w:t xml:space="preserve"> and </w:t>
      </w:r>
      <w:proofErr w:type="spellStart"/>
      <w:r w:rsidRPr="00B81118">
        <w:rPr>
          <w:rFonts w:ascii="Garamond" w:eastAsiaTheme="minorHAnsi" w:hAnsi="Garamond"/>
          <w:color w:val="000000"/>
          <w:lang w:val="en-CA"/>
        </w:rPr>
        <w:t>Theodossiou</w:t>
      </w:r>
      <w:proofErr w:type="spellEnd"/>
      <w:r w:rsidRPr="00B81118">
        <w:rPr>
          <w:rFonts w:ascii="Garamond" w:eastAsiaTheme="minorHAnsi" w:hAnsi="Garamond"/>
          <w:color w:val="000000"/>
          <w:lang w:val="en-CA"/>
        </w:rPr>
        <w:t xml:space="preserve"> </w:t>
      </w:r>
      <w:r w:rsidRPr="00B81118">
        <w:rPr>
          <w:rFonts w:ascii="Garamond" w:eastAsiaTheme="minorHAnsi" w:hAnsi="Garamond"/>
          <w:color w:val="000000"/>
          <w:lang w:val="en-CA"/>
        </w:rPr>
        <w:fldChar w:fldCharType="begin"/>
      </w:r>
      <w:r w:rsidRPr="00B81118">
        <w:rPr>
          <w:rFonts w:ascii="Garamond" w:eastAsiaTheme="minorHAnsi" w:hAnsi="Garamond"/>
          <w:color w:val="000000"/>
          <w:lang w:val="en-CA"/>
        </w:rPr>
        <w:instrText xml:space="preserve"> ADDIN ZOTERO_ITEM CSL_CITATION {"citationID":"tyIcB9x8","properties":{"formattedCitation":"(2013)","plainCitation":"(2013)"},"citationItems":[{"id":110,"uris":["http://zotero.org/users/2456724/items/TBXWTDP5"],"uri":["http://zotero.org/users/2456724/items/TBXWTDP5"],"itemData":{"id":110,"type":"article-journal","title":"The Economics of Health and Safety at Work: An Interdiciplinary Review of the Theory and Policy","container-title":"Journal of Economic Surveys","page":"167–208","volume":"27","issue":"1","source":"Google Scholar","shortTitle":"The economics of health and safety at work","author":[{"family":"Pouliakas","given":"Konstantinos"},{"family":"Theodossiou","given":"Ioannis"}],"issued":{"date-parts":[["2013"]]},"accessed":{"date-parts":[["2015",5,2]]}},"suppress-author":true}],"schema":"https://github.com/citation-style-language/schema/raw/master/csl-citation.json"} </w:instrText>
      </w:r>
      <w:r w:rsidRPr="00B81118">
        <w:rPr>
          <w:rFonts w:ascii="Garamond" w:eastAsiaTheme="minorHAnsi" w:hAnsi="Garamond"/>
          <w:color w:val="000000"/>
          <w:lang w:val="en-CA"/>
        </w:rPr>
        <w:fldChar w:fldCharType="separate"/>
      </w:r>
      <w:r w:rsidRPr="00B81118">
        <w:rPr>
          <w:rFonts w:ascii="Garamond" w:eastAsiaTheme="minorHAnsi" w:hAnsi="Garamond"/>
          <w:color w:val="000000"/>
          <w:lang w:val="en-CA"/>
        </w:rPr>
        <w:t>(2013)</w:t>
      </w:r>
      <w:r w:rsidRPr="00B81118">
        <w:rPr>
          <w:rFonts w:ascii="Garamond" w:eastAsiaTheme="minorHAnsi" w:hAnsi="Garamond"/>
          <w:color w:val="000000"/>
          <w:lang w:val="en-CA"/>
        </w:rPr>
        <w:fldChar w:fldCharType="end"/>
      </w:r>
      <w:r w:rsidRPr="00B81118">
        <w:rPr>
          <w:rFonts w:ascii="Garamond" w:eastAsiaTheme="minorHAnsi" w:hAnsi="Garamond"/>
          <w:color w:val="000000"/>
          <w:lang w:val="en-CA"/>
        </w:rPr>
        <w:t>.</w:t>
      </w:r>
      <w:r w:rsidR="005A1DA2" w:rsidRPr="00B81118">
        <w:rPr>
          <w:rFonts w:ascii="Garamond" w:eastAsiaTheme="minorHAnsi" w:hAnsi="Garamond"/>
          <w:color w:val="000000"/>
          <w:lang w:val="en-CA"/>
        </w:rPr>
        <w:t xml:space="preserve">  </w:t>
      </w:r>
      <w:r w:rsidR="000115BF" w:rsidRPr="00B81118">
        <w:rPr>
          <w:rFonts w:ascii="Garamond" w:eastAsiaTheme="minorHAnsi" w:hAnsi="Garamond"/>
          <w:color w:val="000000"/>
          <w:lang w:val="en-CA"/>
        </w:rPr>
        <w:t>Seabury et. al.</w:t>
      </w:r>
      <w:r w:rsidR="00727FE6" w:rsidRPr="00B81118">
        <w:rPr>
          <w:rFonts w:ascii="Garamond" w:eastAsiaTheme="minorHAnsi" w:hAnsi="Garamond"/>
          <w:color w:val="000000"/>
          <w:lang w:val="en-CA"/>
        </w:rPr>
        <w:t xml:space="preserve"> </w:t>
      </w:r>
      <w:r w:rsidR="00727FE6" w:rsidRPr="00B81118">
        <w:rPr>
          <w:rFonts w:ascii="Garamond" w:eastAsiaTheme="minorHAnsi" w:hAnsi="Garamond"/>
          <w:color w:val="000000"/>
          <w:lang w:val="en-CA"/>
        </w:rPr>
        <w:fldChar w:fldCharType="begin"/>
      </w:r>
      <w:r w:rsidR="00727FE6" w:rsidRPr="00B81118">
        <w:rPr>
          <w:rFonts w:ascii="Garamond" w:eastAsiaTheme="minorHAnsi" w:hAnsi="Garamond"/>
          <w:color w:val="000000"/>
          <w:lang w:val="en-CA"/>
        </w:rPr>
        <w:instrText xml:space="preserve"> ADDIN ZOTERO_ITEM CSL_CITATION {"citationID":"lTnZKcWE","properties":{"formattedCitation":"(2005)","plainCitation":"(2005)"},"citationItems":[{"id":278,"uris":["http://zotero.org/users/2456724/items/KGUTJQI9"],"uri":["http://zotero.org/users/2456724/items/KGUTJQI9"],"itemData":{"id":278,"type":"chapter","title":"How can behaviourfal economcis inform research on workplace injuries?","author":[{"family":"Seabury, Seth","given":""},{"family":"Reville, Robert","given":""},{"family":"Rhodes, Hilary","given":""},{"family":"Boden, Leslie","given":""}],"issued":{"date-parts":[["2005"]]}},"suppress-author":true}],"schema":"https://github.com/citation-style-language/schema/raw/master/csl-citation.json"} </w:instrText>
      </w:r>
      <w:r w:rsidR="00727FE6" w:rsidRPr="00B81118">
        <w:rPr>
          <w:rFonts w:ascii="Garamond" w:eastAsiaTheme="minorHAnsi" w:hAnsi="Garamond"/>
          <w:color w:val="000000"/>
          <w:lang w:val="en-CA"/>
        </w:rPr>
        <w:fldChar w:fldCharType="separate"/>
      </w:r>
      <w:r w:rsidR="00727FE6" w:rsidRPr="00B81118">
        <w:rPr>
          <w:rFonts w:ascii="Garamond" w:eastAsiaTheme="minorHAnsi" w:hAnsi="Garamond"/>
        </w:rPr>
        <w:t>(2005)</w:t>
      </w:r>
      <w:r w:rsidR="00727FE6" w:rsidRPr="00B81118">
        <w:rPr>
          <w:rFonts w:ascii="Garamond" w:eastAsiaTheme="minorHAnsi" w:hAnsi="Garamond"/>
          <w:color w:val="000000"/>
          <w:lang w:val="en-CA"/>
        </w:rPr>
        <w:fldChar w:fldCharType="end"/>
      </w:r>
      <w:r w:rsidR="000115BF" w:rsidRPr="00B81118">
        <w:rPr>
          <w:rFonts w:ascii="Garamond" w:eastAsiaTheme="minorHAnsi" w:hAnsi="Garamond"/>
          <w:color w:val="000000"/>
          <w:lang w:val="en-CA"/>
        </w:rPr>
        <w:t xml:space="preserve"> underscore the importance </w:t>
      </w:r>
      <w:r w:rsidR="005A1DA2" w:rsidRPr="00B81118">
        <w:rPr>
          <w:rFonts w:ascii="Garamond" w:eastAsiaTheme="minorHAnsi" w:hAnsi="Garamond"/>
          <w:color w:val="000000"/>
          <w:lang w:val="en-CA"/>
        </w:rPr>
        <w:t xml:space="preserve">of </w:t>
      </w:r>
      <w:r w:rsidR="000115BF" w:rsidRPr="00B81118">
        <w:rPr>
          <w:rFonts w:ascii="Garamond" w:eastAsiaTheme="minorHAnsi" w:hAnsi="Garamond"/>
          <w:color w:val="000000"/>
          <w:lang w:val="en-CA"/>
        </w:rPr>
        <w:t xml:space="preserve">measuring the economic value the accident, subsequent injury and recovery, </w:t>
      </w:r>
      <w:r w:rsidR="00360D88" w:rsidRPr="00B81118">
        <w:rPr>
          <w:rFonts w:ascii="Garamond" w:eastAsiaTheme="minorHAnsi" w:hAnsi="Garamond"/>
          <w:color w:val="000000"/>
          <w:lang w:val="en-CA"/>
        </w:rPr>
        <w:t>using survey research.</w:t>
      </w:r>
    </w:p>
    <w:p w:rsidR="00360D88" w:rsidRPr="00B81118" w:rsidRDefault="00B81118" w:rsidP="00921602">
      <w:pPr>
        <w:autoSpaceDE w:val="0"/>
        <w:autoSpaceDN w:val="0"/>
        <w:adjustRightInd w:val="0"/>
        <w:spacing w:after="240"/>
        <w:rPr>
          <w:rFonts w:ascii="Garamond" w:eastAsiaTheme="minorHAnsi" w:hAnsi="Garamond"/>
          <w:color w:val="000000"/>
          <w:lang w:val="en-CA"/>
        </w:rPr>
      </w:pPr>
      <w:r w:rsidRPr="00B81118">
        <w:rPr>
          <w:rFonts w:ascii="Garamond" w:eastAsiaTheme="minorHAnsi" w:hAnsi="Garamond"/>
          <w:color w:val="000000"/>
          <w:lang w:val="en-CA"/>
        </w:rPr>
        <w:t xml:space="preserve">This literature has evolved substantially in the last decade in its technical intricacy. This </w:t>
      </w:r>
      <w:r w:rsidR="00E5737C">
        <w:rPr>
          <w:rFonts w:ascii="Garamond" w:eastAsiaTheme="minorHAnsi" w:hAnsi="Garamond"/>
          <w:color w:val="000000"/>
          <w:lang w:val="en-CA"/>
        </w:rPr>
        <w:t xml:space="preserve">paper </w:t>
      </w:r>
      <w:r w:rsidRPr="00B81118">
        <w:rPr>
          <w:rFonts w:ascii="Garamond" w:eastAsiaTheme="minorHAnsi" w:hAnsi="Garamond"/>
          <w:color w:val="000000"/>
          <w:lang w:val="en-CA"/>
        </w:rPr>
        <w:t xml:space="preserve">uses a real world administrative database as the foundation for a large sample survey of workers and their carers to measure the value of </w:t>
      </w:r>
      <w:r w:rsidR="00E5737C">
        <w:rPr>
          <w:rFonts w:ascii="Garamond" w:eastAsiaTheme="minorHAnsi" w:hAnsi="Garamond"/>
          <w:color w:val="000000"/>
          <w:lang w:val="en-CA"/>
        </w:rPr>
        <w:t xml:space="preserve">avoiding </w:t>
      </w:r>
      <w:r w:rsidRPr="00B81118">
        <w:rPr>
          <w:rFonts w:ascii="Garamond" w:eastAsiaTheme="minorHAnsi" w:hAnsi="Garamond"/>
          <w:color w:val="000000"/>
          <w:lang w:val="en-CA"/>
        </w:rPr>
        <w:t>the accident</w:t>
      </w:r>
      <w:r>
        <w:rPr>
          <w:rFonts w:ascii="Garamond" w:eastAsiaTheme="minorHAnsi" w:hAnsi="Garamond"/>
          <w:color w:val="000000"/>
          <w:lang w:val="en-CA"/>
        </w:rPr>
        <w:t xml:space="preserve"> and injury as their</w:t>
      </w:r>
      <w:r w:rsidRPr="00B81118">
        <w:rPr>
          <w:rFonts w:ascii="Garamond" w:eastAsiaTheme="minorHAnsi" w:hAnsi="Garamond"/>
          <w:color w:val="000000"/>
          <w:lang w:val="en-CA"/>
        </w:rPr>
        <w:t xml:space="preserve"> complete avoidance. </w:t>
      </w:r>
    </w:p>
    <w:p w:rsidR="00921602" w:rsidRPr="00C239D4" w:rsidRDefault="00921602" w:rsidP="00921602">
      <w:pPr>
        <w:keepNext/>
        <w:keepLines/>
        <w:spacing w:before="360" w:after="240"/>
        <w:outlineLvl w:val="1"/>
        <w:rPr>
          <w:rFonts w:ascii="Garamond" w:eastAsiaTheme="majorEastAsia" w:hAnsi="Garamond" w:cstheme="majorBidi"/>
          <w:b/>
          <w:bCs/>
          <w:sz w:val="28"/>
          <w:szCs w:val="28"/>
          <w:lang w:val="en-CA"/>
        </w:rPr>
      </w:pPr>
      <w:bookmarkStart w:id="4" w:name="_Toc418509533"/>
      <w:bookmarkStart w:id="5" w:name="_Toc418855637"/>
      <w:r w:rsidRPr="00C239D4">
        <w:rPr>
          <w:rFonts w:ascii="Garamond" w:eastAsiaTheme="majorEastAsia" w:hAnsi="Garamond" w:cstheme="majorBidi"/>
          <w:b/>
          <w:bCs/>
          <w:sz w:val="28"/>
          <w:szCs w:val="28"/>
          <w:lang w:val="en-CA"/>
        </w:rPr>
        <w:t>Stated choice</w:t>
      </w:r>
      <w:r w:rsidR="00087F38" w:rsidRPr="00C239D4">
        <w:rPr>
          <w:rFonts w:ascii="Garamond" w:eastAsiaTheme="majorEastAsia" w:hAnsi="Garamond" w:cstheme="majorBidi"/>
          <w:b/>
          <w:bCs/>
          <w:sz w:val="28"/>
          <w:szCs w:val="28"/>
          <w:lang w:val="en-CA"/>
        </w:rPr>
        <w:t xml:space="preserve"> versus revealed</w:t>
      </w:r>
      <w:r w:rsidRPr="00C239D4">
        <w:rPr>
          <w:rFonts w:ascii="Garamond" w:eastAsiaTheme="majorEastAsia" w:hAnsi="Garamond" w:cstheme="majorBidi"/>
          <w:b/>
          <w:bCs/>
          <w:sz w:val="28"/>
          <w:szCs w:val="28"/>
          <w:lang w:val="en-CA"/>
        </w:rPr>
        <w:t xml:space="preserve"> methods for measuring economic costs</w:t>
      </w:r>
      <w:bookmarkEnd w:id="4"/>
      <w:bookmarkEnd w:id="5"/>
    </w:p>
    <w:p w:rsidR="00921602" w:rsidRPr="00B81118" w:rsidRDefault="00921602" w:rsidP="00921602">
      <w:pPr>
        <w:spacing w:after="240"/>
        <w:rPr>
          <w:rFonts w:ascii="Garamond" w:hAnsi="Garamond"/>
          <w:lang w:val="en-CA"/>
        </w:rPr>
      </w:pPr>
      <w:r w:rsidRPr="00B81118">
        <w:rPr>
          <w:rFonts w:ascii="Garamond" w:hAnsi="Garamond"/>
          <w:lang w:val="en-CA"/>
        </w:rPr>
        <w:t>The core idea</w:t>
      </w:r>
      <w:r w:rsidR="00087F38" w:rsidRPr="00B81118">
        <w:rPr>
          <w:rFonts w:ascii="Garamond" w:hAnsi="Garamond"/>
          <w:lang w:val="en-CA"/>
        </w:rPr>
        <w:t xml:space="preserve"> in this paper</w:t>
      </w:r>
      <w:r w:rsidRPr="00B81118">
        <w:rPr>
          <w:rFonts w:ascii="Garamond" w:hAnsi="Garamond"/>
          <w:lang w:val="en-CA"/>
        </w:rPr>
        <w:t xml:space="preserve"> is that the economic cost</w:t>
      </w:r>
      <w:r w:rsidR="005A1F05">
        <w:rPr>
          <w:rFonts w:ascii="Garamond" w:hAnsi="Garamond"/>
          <w:lang w:val="en-CA"/>
        </w:rPr>
        <w:t>s</w:t>
      </w:r>
      <w:r w:rsidRPr="00B81118">
        <w:rPr>
          <w:rFonts w:ascii="Garamond" w:hAnsi="Garamond"/>
          <w:lang w:val="en-CA"/>
        </w:rPr>
        <w:t xml:space="preserve"> of an accident may be expressed as the value of avoiding the accident in the first place. This “inversion” of the usual way of expressing a cost is the first step in measuring intangible outcomes financially. </w:t>
      </w:r>
      <w:r w:rsidR="00087F38" w:rsidRPr="00B81118">
        <w:rPr>
          <w:rFonts w:ascii="Garamond" w:hAnsi="Garamond"/>
          <w:lang w:val="en-CA"/>
        </w:rPr>
        <w:t>The willingness to pay out of current income resembles the insurance decision, where a smaller expenditure offsets a risk adjusted much larger cost</w:t>
      </w:r>
    </w:p>
    <w:p w:rsidR="00921602" w:rsidRPr="00B81118" w:rsidRDefault="00921602" w:rsidP="00921602">
      <w:pPr>
        <w:spacing w:after="240"/>
        <w:rPr>
          <w:rFonts w:ascii="Garamond" w:hAnsi="Garamond"/>
          <w:lang w:val="en-CA"/>
        </w:rPr>
      </w:pPr>
      <w:r w:rsidRPr="00B81118">
        <w:rPr>
          <w:rFonts w:ascii="Garamond" w:hAnsi="Garamond"/>
          <w:lang w:val="en-CA"/>
        </w:rPr>
        <w:t>Economists have two approaches to measuring value. Most commonly, value emerges from market outcomes, where demand and supply interact. Consumers signal value by their willingness</w:t>
      </w:r>
      <w:r w:rsidR="00360D88" w:rsidRPr="00B81118">
        <w:rPr>
          <w:rFonts w:ascii="Garamond" w:hAnsi="Garamond"/>
          <w:lang w:val="en-CA"/>
        </w:rPr>
        <w:t>-</w:t>
      </w:r>
      <w:r w:rsidRPr="00B81118">
        <w:rPr>
          <w:rFonts w:ascii="Garamond" w:hAnsi="Garamond"/>
          <w:lang w:val="en-CA"/>
        </w:rPr>
        <w:t>to</w:t>
      </w:r>
      <w:r w:rsidR="00360D88" w:rsidRPr="00B81118">
        <w:rPr>
          <w:rFonts w:ascii="Garamond" w:hAnsi="Garamond"/>
          <w:lang w:val="en-CA"/>
        </w:rPr>
        <w:t>-</w:t>
      </w:r>
      <w:r w:rsidRPr="00B81118">
        <w:rPr>
          <w:rFonts w:ascii="Garamond" w:hAnsi="Garamond"/>
          <w:lang w:val="en-CA"/>
        </w:rPr>
        <w:t xml:space="preserve">pay for </w:t>
      </w:r>
      <w:r w:rsidRPr="00B81118">
        <w:rPr>
          <w:rFonts w:ascii="Garamond" w:hAnsi="Garamond"/>
          <w:lang w:val="en-CA"/>
        </w:rPr>
        <w:lastRenderedPageBreak/>
        <w:t>a good or service, and the final price “reveals” the market consensus of value conditioned by the price of the product. Not surprisingly, this approach to measuring value is termed “revealed preference.”</w:t>
      </w:r>
      <w:r w:rsidR="00E5737C">
        <w:rPr>
          <w:rFonts w:ascii="Garamond" w:hAnsi="Garamond"/>
          <w:lang w:val="en-CA"/>
        </w:rPr>
        <w:t xml:space="preserve"> The second approach uses hypothetical scenarios to estimate value before transactions have occurred. </w:t>
      </w:r>
      <w:r w:rsidRPr="00B81118">
        <w:rPr>
          <w:rFonts w:ascii="Garamond" w:hAnsi="Garamond"/>
          <w:lang w:val="en-CA"/>
        </w:rPr>
        <w:t xml:space="preserve">For example, the hypothetical exercise of predicting demand for a proposed and currently non-existent product is the central market research question. Another example is the valuation of wilderness and other ecological goods and services. </w:t>
      </w:r>
      <w:r w:rsidR="00755BA8" w:rsidRPr="00B81118">
        <w:rPr>
          <w:rFonts w:ascii="Garamond" w:hAnsi="Garamond"/>
          <w:lang w:val="en-CA"/>
        </w:rPr>
        <w:t>Examples of intangible but real consequences of accidents are interruption</w:t>
      </w:r>
      <w:r w:rsidR="005A1F05">
        <w:rPr>
          <w:rFonts w:ascii="Garamond" w:hAnsi="Garamond"/>
          <w:lang w:val="en-CA"/>
        </w:rPr>
        <w:t>s</w:t>
      </w:r>
      <w:r w:rsidR="00755BA8" w:rsidRPr="00B81118">
        <w:rPr>
          <w:rFonts w:ascii="Garamond" w:hAnsi="Garamond"/>
          <w:lang w:val="en-CA"/>
        </w:rPr>
        <w:t xml:space="preserve"> in career</w:t>
      </w:r>
      <w:r w:rsidR="005A1F05">
        <w:rPr>
          <w:rFonts w:ascii="Garamond" w:hAnsi="Garamond"/>
          <w:lang w:val="en-CA"/>
        </w:rPr>
        <w:t>s</w:t>
      </w:r>
      <w:r w:rsidR="00755BA8" w:rsidRPr="00B81118">
        <w:rPr>
          <w:rFonts w:ascii="Garamond" w:hAnsi="Garamond"/>
          <w:lang w:val="en-CA"/>
        </w:rPr>
        <w:t>, attenuation of recreation and other opportunities</w:t>
      </w:r>
      <w:r w:rsidR="005A1F05">
        <w:rPr>
          <w:rFonts w:ascii="Garamond" w:hAnsi="Garamond"/>
          <w:lang w:val="en-CA"/>
        </w:rPr>
        <w:t>,</w:t>
      </w:r>
      <w:r w:rsidR="00755BA8" w:rsidRPr="00B81118">
        <w:rPr>
          <w:rFonts w:ascii="Garamond" w:hAnsi="Garamond"/>
          <w:lang w:val="en-CA"/>
        </w:rPr>
        <w:t xml:space="preserve"> and </w:t>
      </w:r>
      <w:r w:rsidRPr="00B81118">
        <w:rPr>
          <w:rFonts w:ascii="Garamond" w:hAnsi="Garamond"/>
          <w:lang w:val="en-CA"/>
        </w:rPr>
        <w:t>indirect cost</w:t>
      </w:r>
      <w:r w:rsidR="00755BA8" w:rsidRPr="00B81118">
        <w:rPr>
          <w:rFonts w:ascii="Garamond" w:hAnsi="Garamond"/>
          <w:lang w:val="en-CA"/>
        </w:rPr>
        <w:t>s</w:t>
      </w:r>
      <w:r w:rsidRPr="00B81118">
        <w:rPr>
          <w:rFonts w:ascii="Garamond" w:hAnsi="Garamond"/>
          <w:lang w:val="en-CA"/>
        </w:rPr>
        <w:t xml:space="preserve"> such as the time </w:t>
      </w:r>
      <w:r w:rsidR="00087F38" w:rsidRPr="00B81118">
        <w:rPr>
          <w:rFonts w:ascii="Garamond" w:hAnsi="Garamond"/>
          <w:lang w:val="en-CA"/>
        </w:rPr>
        <w:t xml:space="preserve">consumed by </w:t>
      </w:r>
      <w:r w:rsidRPr="00B81118">
        <w:rPr>
          <w:rFonts w:ascii="Garamond" w:hAnsi="Garamond"/>
          <w:lang w:val="en-CA"/>
        </w:rPr>
        <w:t>carers</w:t>
      </w:r>
      <w:r w:rsidR="00087F38" w:rsidRPr="00B81118">
        <w:rPr>
          <w:rFonts w:ascii="Garamond" w:hAnsi="Garamond"/>
          <w:lang w:val="en-CA"/>
        </w:rPr>
        <w:t xml:space="preserve"> in supporting the injured worker</w:t>
      </w:r>
      <w:r w:rsidR="00755BA8" w:rsidRPr="00B81118">
        <w:rPr>
          <w:rFonts w:ascii="Garamond" w:hAnsi="Garamond"/>
          <w:lang w:val="en-CA"/>
        </w:rPr>
        <w:t>.</w:t>
      </w:r>
    </w:p>
    <w:p w:rsidR="00921602" w:rsidRPr="00B81118" w:rsidRDefault="00921602" w:rsidP="00921602">
      <w:pPr>
        <w:spacing w:after="240"/>
        <w:rPr>
          <w:rFonts w:ascii="Garamond" w:hAnsi="Garamond" w:cs="Arial"/>
          <w:b/>
          <w:lang w:val="en-CA"/>
        </w:rPr>
      </w:pPr>
      <w:r w:rsidRPr="00B81118">
        <w:rPr>
          <w:rFonts w:ascii="Garamond" w:hAnsi="Garamond"/>
          <w:lang w:val="en-CA"/>
        </w:rPr>
        <w:t>Since valuation of intangibles occur in the absence of a concrete good or service, consumers</w:t>
      </w:r>
      <w:r w:rsidR="001B57AF">
        <w:rPr>
          <w:rFonts w:ascii="Garamond" w:hAnsi="Garamond"/>
          <w:lang w:val="en-CA"/>
        </w:rPr>
        <w:t xml:space="preserve"> </w:t>
      </w:r>
      <w:r w:rsidRPr="00B81118">
        <w:rPr>
          <w:rFonts w:ascii="Garamond" w:hAnsi="Garamond"/>
          <w:lang w:val="en-CA"/>
        </w:rPr>
        <w:t xml:space="preserve">and other economic agents must </w:t>
      </w:r>
      <w:r w:rsidR="001B57AF">
        <w:rPr>
          <w:rFonts w:ascii="Garamond" w:hAnsi="Garamond"/>
          <w:lang w:val="en-CA"/>
        </w:rPr>
        <w:t xml:space="preserve">place a </w:t>
      </w:r>
      <w:r w:rsidRPr="00B81118">
        <w:rPr>
          <w:rFonts w:ascii="Garamond" w:hAnsi="Garamond"/>
          <w:lang w:val="en-CA"/>
        </w:rPr>
        <w:t>value a hypothetical. Early adopters of any new technology routinely make this assessment. Examples of such valuations include the following:</w:t>
      </w:r>
    </w:p>
    <w:p w:rsidR="00921602" w:rsidRPr="00B81118" w:rsidRDefault="00921602" w:rsidP="00921602">
      <w:pPr>
        <w:numPr>
          <w:ilvl w:val="0"/>
          <w:numId w:val="2"/>
        </w:numPr>
        <w:rPr>
          <w:rFonts w:ascii="Garamond" w:eastAsiaTheme="minorHAnsi" w:hAnsi="Garamond"/>
          <w:lang w:val="en-CA"/>
        </w:rPr>
      </w:pPr>
      <w:r w:rsidRPr="00B81118">
        <w:rPr>
          <w:rFonts w:ascii="Garamond" w:eastAsiaTheme="minorHAnsi" w:hAnsi="Garamond"/>
          <w:lang w:val="en-CA"/>
        </w:rPr>
        <w:t xml:space="preserve">smoking cessation treatment </w:t>
      </w:r>
      <w:r w:rsidRPr="00B81118">
        <w:rPr>
          <w:rFonts w:ascii="Garamond" w:eastAsiaTheme="minorHAnsi" w:hAnsi="Garamond"/>
          <w:lang w:val="en-CA"/>
        </w:rPr>
        <w:fldChar w:fldCharType="begin"/>
      </w:r>
      <w:r w:rsidRPr="00B81118">
        <w:rPr>
          <w:rFonts w:ascii="Garamond" w:eastAsiaTheme="minorHAnsi" w:hAnsi="Garamond"/>
          <w:lang w:val="en-CA"/>
        </w:rPr>
        <w:instrText xml:space="preserve"> ADDIN ZOTERO_ITEM CSL_CITATION {"citationID":"8vNrv5wI","properties":{"formattedCitation":"{\\rtf (Olsen, R\\uc0\\u248{}geberg, &amp; Stavem, 2012)}","plainCitation":"(Olsen, Røgeberg, &amp; Stavem, 2012)"},"citationItems":[{"id":106,"uris":["http://zotero.org/users/2456724/items/EZZ5Z4TD"],"uri":["http://zotero.org/users/2456724/items/EZZ5Z4TD"],"itemData":{"id":106,"type":"article-journal","title":"What Explains Willingness to Pay for Smoking-Cessation Treatments—Addiction Level, Quit-Rate Effectiveness or the Opening Bid?","container-title":"Applied health economics and health policy","page":"407–415","volume":"10","issue":"6","source":"Google Scholar","author":[{"family":"Olsen","given":"Jan Abel"},{"family":"Røgeberg","given":"Ole J."},{"family":"Stavem","given":"Knut"}],"issued":{"date-parts":[["2012"]]},"accessed":{"date-parts":[["2015",5,2]]}}}],"schema":"https://github.com/citation-style-language/schema/raw/master/csl-citation.json"} </w:instrText>
      </w:r>
      <w:r w:rsidRPr="00B81118">
        <w:rPr>
          <w:rFonts w:ascii="Garamond" w:eastAsiaTheme="minorHAnsi" w:hAnsi="Garamond"/>
          <w:lang w:val="en-CA"/>
        </w:rPr>
        <w:fldChar w:fldCharType="separate"/>
      </w:r>
      <w:r w:rsidRPr="00B81118">
        <w:rPr>
          <w:rFonts w:ascii="Garamond" w:eastAsiaTheme="minorHAnsi" w:hAnsi="Garamond"/>
          <w:lang w:val="en-CA"/>
        </w:rPr>
        <w:t>(Olsen, Røgeberg, &amp; Stavem, 2012)</w:t>
      </w:r>
      <w:r w:rsidRPr="00B81118">
        <w:rPr>
          <w:rFonts w:ascii="Garamond" w:eastAsiaTheme="minorHAnsi" w:hAnsi="Garamond"/>
          <w:lang w:val="en-CA"/>
        </w:rPr>
        <w:fldChar w:fldCharType="end"/>
      </w:r>
    </w:p>
    <w:p w:rsidR="00921602" w:rsidRPr="00B81118" w:rsidRDefault="00921602" w:rsidP="00921602">
      <w:pPr>
        <w:numPr>
          <w:ilvl w:val="0"/>
          <w:numId w:val="2"/>
        </w:numPr>
        <w:rPr>
          <w:rFonts w:ascii="Garamond" w:eastAsiaTheme="minorHAnsi" w:hAnsi="Garamond"/>
          <w:lang w:val="en-CA"/>
        </w:rPr>
      </w:pPr>
      <w:r w:rsidRPr="00B81118">
        <w:rPr>
          <w:rFonts w:ascii="Garamond" w:eastAsiaTheme="minorHAnsi" w:hAnsi="Garamond"/>
          <w:lang w:val="en-CA"/>
        </w:rPr>
        <w:t xml:space="preserve">hearing aids </w:t>
      </w:r>
      <w:r w:rsidRPr="00B81118">
        <w:rPr>
          <w:rFonts w:ascii="Garamond" w:eastAsiaTheme="minorHAnsi" w:hAnsi="Garamond"/>
          <w:lang w:val="en-CA"/>
        </w:rPr>
        <w:fldChar w:fldCharType="begin"/>
      </w:r>
      <w:r w:rsidRPr="00B81118">
        <w:rPr>
          <w:rFonts w:ascii="Garamond" w:eastAsiaTheme="minorHAnsi" w:hAnsi="Garamond"/>
          <w:lang w:val="en-CA"/>
        </w:rPr>
        <w:instrText xml:space="preserve"> ADDIN ZOTERO_ITEM CSL_CITATION {"citationID":"juTg5Ddz","properties":{"formattedCitation":"(Grutters, Anteunis, Chenault, &amp; Joore, 2009)","plainCitation":"(Grutters, Anteunis, Chenault, &amp; Joore, 2009)"},"citationItems":[{"id":87,"uris":["http://zotero.org/users/2456724/items/5F6DTWCR"],"uri":["http://zotero.org/users/2456724/items/5F6DTWCR"],"itemData":{"id":87,"type":"article-journal","title":"Willingness to Pay for a Hearing Aid: Comparing the Payment Scale and Open-Ended Question","container-title":"Journal of Evaluation in Clinical Practice","page":"91-96","volume":"15","issue":"1","source":"CrossRef","DOI":"10.1111/j.1365-2753.2008.00959.x","ISSN":"13561294, 13652753","shortTitle":"Willingness to pay for a hearing aid","language":"en","author":[{"family":"Grutters","given":"Janneke P. C."},{"family":"Anteunis","given":"Lucien J. C."},{"family":"Chenault","given":"Michelene N."},{"family":"Joore","given":"Manuela A."}],"issued":{"date-parts":[["2009",2]]},"accessed":{"date-parts":[["2015",5,2]]}}}],"schema":"https://github.com/citation-style-language/schema/raw/master/csl-citation.json"} </w:instrText>
      </w:r>
      <w:r w:rsidRPr="00B81118">
        <w:rPr>
          <w:rFonts w:ascii="Garamond" w:eastAsiaTheme="minorHAnsi" w:hAnsi="Garamond"/>
          <w:lang w:val="en-CA"/>
        </w:rPr>
        <w:fldChar w:fldCharType="separate"/>
      </w:r>
      <w:r w:rsidRPr="00B81118">
        <w:rPr>
          <w:rFonts w:ascii="Garamond" w:eastAsiaTheme="minorHAnsi" w:hAnsi="Garamond"/>
          <w:lang w:val="en-CA"/>
        </w:rPr>
        <w:t>(Grutters, Anteunis, Chenault, &amp; Joore, 2009)</w:t>
      </w:r>
      <w:r w:rsidRPr="00B81118">
        <w:rPr>
          <w:rFonts w:ascii="Garamond" w:eastAsiaTheme="minorHAnsi" w:hAnsi="Garamond"/>
          <w:lang w:val="en-CA"/>
        </w:rPr>
        <w:fldChar w:fldCharType="end"/>
      </w:r>
    </w:p>
    <w:p w:rsidR="00921602" w:rsidRPr="00B81118" w:rsidRDefault="00921602" w:rsidP="00921602">
      <w:pPr>
        <w:numPr>
          <w:ilvl w:val="0"/>
          <w:numId w:val="2"/>
        </w:numPr>
        <w:spacing w:after="240"/>
        <w:ind w:left="714" w:hanging="357"/>
        <w:rPr>
          <w:rFonts w:ascii="Garamond" w:eastAsiaTheme="minorHAnsi" w:hAnsi="Garamond"/>
          <w:lang w:val="en-CA"/>
        </w:rPr>
      </w:pPr>
      <w:r w:rsidRPr="00B81118">
        <w:rPr>
          <w:rFonts w:ascii="Garamond" w:eastAsiaTheme="minorHAnsi" w:hAnsi="Garamond"/>
          <w:lang w:val="en-CA"/>
        </w:rPr>
        <w:t xml:space="preserve">new attributes in foods (Zhang, Gallardo, </w:t>
      </w:r>
      <w:proofErr w:type="spellStart"/>
      <w:r w:rsidRPr="00B81118">
        <w:rPr>
          <w:rFonts w:ascii="Garamond" w:eastAsiaTheme="minorHAnsi" w:hAnsi="Garamond"/>
          <w:lang w:val="en-CA"/>
        </w:rPr>
        <w:t>McCluskey</w:t>
      </w:r>
      <w:proofErr w:type="spellEnd"/>
      <w:r w:rsidRPr="00B81118">
        <w:rPr>
          <w:rFonts w:ascii="Garamond" w:eastAsiaTheme="minorHAnsi" w:hAnsi="Garamond"/>
          <w:lang w:val="en-CA"/>
        </w:rPr>
        <w:t xml:space="preserve">, &amp; </w:t>
      </w:r>
      <w:proofErr w:type="spellStart"/>
      <w:r w:rsidRPr="00B81118">
        <w:rPr>
          <w:rFonts w:ascii="Garamond" w:eastAsiaTheme="minorHAnsi" w:hAnsi="Garamond"/>
          <w:lang w:val="en-CA"/>
        </w:rPr>
        <w:t>Kupferman</w:t>
      </w:r>
      <w:proofErr w:type="spellEnd"/>
      <w:r w:rsidRPr="00B81118">
        <w:rPr>
          <w:rFonts w:ascii="Garamond" w:eastAsiaTheme="minorHAnsi" w:hAnsi="Garamond"/>
          <w:lang w:val="en-CA"/>
        </w:rPr>
        <w:t>, 2010).</w:t>
      </w:r>
    </w:p>
    <w:p w:rsidR="00921602" w:rsidRPr="00B81118" w:rsidRDefault="00921602" w:rsidP="00921602">
      <w:pPr>
        <w:autoSpaceDE w:val="0"/>
        <w:autoSpaceDN w:val="0"/>
        <w:adjustRightInd w:val="0"/>
        <w:rPr>
          <w:rFonts w:ascii="Garamond" w:eastAsiaTheme="minorHAnsi" w:hAnsi="Garamond"/>
          <w:color w:val="000000"/>
          <w:lang w:val="en-CA"/>
        </w:rPr>
      </w:pPr>
      <w:r w:rsidRPr="00B81118">
        <w:rPr>
          <w:rFonts w:ascii="Garamond" w:eastAsiaTheme="minorHAnsi" w:hAnsi="Garamond"/>
          <w:color w:val="000000"/>
          <w:lang w:val="en-CA"/>
        </w:rPr>
        <w:t xml:space="preserve">Economists have applied stated choice methods </w:t>
      </w:r>
      <w:r w:rsidR="00C239D4" w:rsidRPr="00B81118">
        <w:rPr>
          <w:rFonts w:ascii="Garamond" w:eastAsiaTheme="minorHAnsi" w:hAnsi="Garamond"/>
          <w:color w:val="000000"/>
          <w:lang w:val="en-CA"/>
        </w:rPr>
        <w:t xml:space="preserve">to </w:t>
      </w:r>
      <w:r w:rsidRPr="00B81118">
        <w:rPr>
          <w:rFonts w:ascii="Garamond" w:eastAsiaTheme="minorHAnsi" w:hAnsi="Garamond"/>
          <w:color w:val="000000"/>
          <w:lang w:val="en-CA"/>
        </w:rPr>
        <w:t>variety of contexts, including environment, new products in all domains, and increasingly, medical/health proce</w:t>
      </w:r>
      <w:r w:rsidR="00C239D4" w:rsidRPr="00B81118">
        <w:rPr>
          <w:rFonts w:ascii="Garamond" w:eastAsiaTheme="minorHAnsi" w:hAnsi="Garamond"/>
          <w:color w:val="000000"/>
          <w:lang w:val="en-CA"/>
        </w:rPr>
        <w:t>sses and procedures</w:t>
      </w:r>
      <w:r w:rsidRPr="00B81118">
        <w:rPr>
          <w:rFonts w:ascii="Garamond" w:eastAsiaTheme="minorHAnsi" w:hAnsi="Garamond"/>
          <w:color w:val="000000"/>
          <w:lang w:val="en-CA"/>
        </w:rPr>
        <w:t xml:space="preserve">. The application of such </w:t>
      </w:r>
      <w:r w:rsidR="00C239D4" w:rsidRPr="00B81118">
        <w:rPr>
          <w:rFonts w:ascii="Garamond" w:eastAsiaTheme="minorHAnsi" w:hAnsi="Garamond"/>
          <w:color w:val="000000"/>
          <w:lang w:val="en-CA"/>
        </w:rPr>
        <w:t xml:space="preserve">to the valuation of complex health outcomes </w:t>
      </w:r>
      <w:r w:rsidRPr="00B81118">
        <w:rPr>
          <w:rFonts w:ascii="Garamond" w:eastAsiaTheme="minorHAnsi" w:hAnsi="Garamond"/>
          <w:color w:val="000000"/>
          <w:lang w:val="en-CA"/>
        </w:rPr>
        <w:t>procedures, such as the avoidance of an accident</w:t>
      </w:r>
      <w:r w:rsidR="00C239D4" w:rsidRPr="00B81118">
        <w:rPr>
          <w:rFonts w:ascii="Garamond" w:eastAsiaTheme="minorHAnsi" w:hAnsi="Garamond"/>
          <w:color w:val="000000"/>
          <w:lang w:val="en-CA"/>
        </w:rPr>
        <w:t xml:space="preserve"> and consequential injury</w:t>
      </w:r>
      <w:r w:rsidRPr="00B81118">
        <w:rPr>
          <w:rFonts w:ascii="Garamond" w:eastAsiaTheme="minorHAnsi" w:hAnsi="Garamond"/>
          <w:color w:val="000000"/>
          <w:lang w:val="en-CA"/>
        </w:rPr>
        <w:t>, represents an extension of the core idea.</w:t>
      </w:r>
    </w:p>
    <w:p w:rsidR="00921602" w:rsidRPr="00B81118" w:rsidRDefault="00921602" w:rsidP="00921602">
      <w:pPr>
        <w:keepNext/>
        <w:keepLines/>
        <w:spacing w:before="360" w:after="240"/>
        <w:ind w:firstLine="720"/>
        <w:outlineLvl w:val="1"/>
        <w:rPr>
          <w:rFonts w:ascii="Garamond" w:eastAsiaTheme="majorEastAsia" w:hAnsi="Garamond" w:cstheme="majorBidi"/>
          <w:b/>
          <w:bCs/>
          <w:lang w:val="en-CA"/>
        </w:rPr>
      </w:pPr>
      <w:bookmarkStart w:id="6" w:name="_Toc418509534"/>
      <w:bookmarkStart w:id="7" w:name="_Toc418855638"/>
      <w:r w:rsidRPr="00B81118">
        <w:rPr>
          <w:rFonts w:ascii="Garamond" w:eastAsiaTheme="majorEastAsia" w:hAnsi="Garamond" w:cstheme="majorBidi"/>
          <w:b/>
          <w:bCs/>
          <w:lang w:val="en-CA"/>
        </w:rPr>
        <w:t xml:space="preserve">Contingent valuation </w:t>
      </w:r>
      <w:bookmarkEnd w:id="6"/>
      <w:bookmarkEnd w:id="7"/>
    </w:p>
    <w:p w:rsidR="00921602" w:rsidRPr="00B81118" w:rsidRDefault="00921602" w:rsidP="00921602">
      <w:pPr>
        <w:autoSpaceDE w:val="0"/>
        <w:autoSpaceDN w:val="0"/>
        <w:adjustRightInd w:val="0"/>
        <w:spacing w:after="240"/>
        <w:rPr>
          <w:rFonts w:ascii="Garamond" w:eastAsiaTheme="minorHAnsi" w:hAnsi="Garamond" w:cs="AdvTimes"/>
          <w:color w:val="000000"/>
          <w:lang w:val="en-CA"/>
        </w:rPr>
      </w:pPr>
      <w:r w:rsidRPr="00B81118">
        <w:rPr>
          <w:rFonts w:ascii="Garamond" w:eastAsiaTheme="minorHAnsi" w:hAnsi="Garamond"/>
          <w:color w:val="000000"/>
          <w:lang w:val="en-CA"/>
        </w:rPr>
        <w:t>C</w:t>
      </w:r>
      <w:r w:rsidR="00D15B8A" w:rsidRPr="00B81118">
        <w:rPr>
          <w:rFonts w:ascii="Garamond" w:eastAsiaTheme="minorHAnsi" w:hAnsi="Garamond"/>
          <w:color w:val="000000"/>
          <w:lang w:val="en-CA"/>
        </w:rPr>
        <w:t>ontingent valuation (CV)</w:t>
      </w:r>
      <w:r w:rsidRPr="00B81118">
        <w:rPr>
          <w:rFonts w:ascii="Garamond" w:eastAsiaTheme="minorHAnsi" w:hAnsi="Garamond"/>
          <w:color w:val="000000"/>
          <w:lang w:val="en-CA"/>
        </w:rPr>
        <w:t xml:space="preserve"> methods are rooted in tradi</w:t>
      </w:r>
      <w:r w:rsidR="00D15B8A" w:rsidRPr="00B81118">
        <w:rPr>
          <w:rFonts w:ascii="Garamond" w:eastAsiaTheme="minorHAnsi" w:hAnsi="Garamond"/>
          <w:color w:val="000000"/>
          <w:lang w:val="en-CA"/>
        </w:rPr>
        <w:t xml:space="preserve">tional welfare economics, where consumers </w:t>
      </w:r>
      <w:r w:rsidRPr="00B81118">
        <w:rPr>
          <w:rFonts w:ascii="Garamond" w:eastAsiaTheme="minorHAnsi" w:hAnsi="Garamond"/>
          <w:color w:val="000000"/>
          <w:lang w:val="en-CA"/>
        </w:rPr>
        <w:t>state a price that they are willing to offer for a certain good (product or service) or a sum they are willing to accept to endure some negative outcome (also known as a “bad”). M</w:t>
      </w:r>
      <w:r w:rsidR="00C239D4" w:rsidRPr="00B81118">
        <w:rPr>
          <w:rFonts w:ascii="Garamond" w:eastAsiaTheme="minorHAnsi" w:hAnsi="Garamond"/>
          <w:color w:val="000000"/>
          <w:lang w:val="en-CA"/>
        </w:rPr>
        <w:t xml:space="preserve">any </w:t>
      </w:r>
      <w:r w:rsidRPr="00B81118">
        <w:rPr>
          <w:rFonts w:ascii="Garamond" w:eastAsiaTheme="minorHAnsi" w:hAnsi="Garamond"/>
          <w:color w:val="000000"/>
          <w:lang w:val="en-CA"/>
        </w:rPr>
        <w:t xml:space="preserve">CV studies </w:t>
      </w:r>
      <w:r w:rsidR="00C239D4" w:rsidRPr="00B81118">
        <w:rPr>
          <w:rFonts w:ascii="Garamond" w:eastAsiaTheme="minorHAnsi" w:hAnsi="Garamond"/>
          <w:color w:val="000000"/>
          <w:lang w:val="en-CA"/>
        </w:rPr>
        <w:t xml:space="preserve">use </w:t>
      </w:r>
      <w:r w:rsidRPr="00B81118">
        <w:rPr>
          <w:rFonts w:ascii="Garamond" w:eastAsiaTheme="minorHAnsi" w:hAnsi="Garamond"/>
          <w:color w:val="000000"/>
          <w:lang w:val="en-CA"/>
        </w:rPr>
        <w:t>a form of discrete choice</w:t>
      </w:r>
      <w:r w:rsidR="00C239D4" w:rsidRPr="00B81118">
        <w:rPr>
          <w:rFonts w:ascii="Garamond" w:eastAsiaTheme="minorHAnsi" w:hAnsi="Garamond"/>
          <w:color w:val="000000"/>
          <w:lang w:val="en-CA"/>
        </w:rPr>
        <w:t xml:space="preserve"> experiment</w:t>
      </w:r>
      <w:r w:rsidRPr="00B81118">
        <w:rPr>
          <w:rFonts w:ascii="Garamond" w:eastAsiaTheme="minorHAnsi" w:hAnsi="Garamond"/>
          <w:color w:val="000000"/>
          <w:lang w:val="en-CA"/>
        </w:rPr>
        <w:t xml:space="preserve">, </w:t>
      </w:r>
      <w:r w:rsidR="00D15B8A" w:rsidRPr="00B81118">
        <w:rPr>
          <w:rFonts w:ascii="Garamond" w:eastAsiaTheme="minorHAnsi" w:hAnsi="Garamond"/>
          <w:color w:val="000000"/>
          <w:lang w:val="en-CA"/>
        </w:rPr>
        <w:t xml:space="preserve">implemented in a survey setting, </w:t>
      </w:r>
      <w:r w:rsidRPr="00B81118">
        <w:rPr>
          <w:rFonts w:ascii="Garamond" w:eastAsiaTheme="minorHAnsi" w:hAnsi="Garamond"/>
          <w:color w:val="000000"/>
          <w:lang w:val="en-CA"/>
        </w:rPr>
        <w:t xml:space="preserve">where respondents choose </w:t>
      </w:r>
      <w:r w:rsidR="00C239D4" w:rsidRPr="00B81118">
        <w:rPr>
          <w:rFonts w:ascii="Garamond" w:eastAsiaTheme="minorHAnsi" w:hAnsi="Garamond"/>
          <w:color w:val="000000"/>
          <w:lang w:val="en-CA"/>
        </w:rPr>
        <w:t xml:space="preserve">among several </w:t>
      </w:r>
      <w:r w:rsidRPr="00B81118">
        <w:rPr>
          <w:rFonts w:ascii="Garamond" w:eastAsiaTheme="minorHAnsi" w:hAnsi="Garamond"/>
          <w:color w:val="000000"/>
          <w:lang w:val="en-CA"/>
        </w:rPr>
        <w:t>alternatives. Examples include the following:</w:t>
      </w:r>
    </w:p>
    <w:p w:rsidR="00921602" w:rsidRPr="00B81118" w:rsidRDefault="00921602" w:rsidP="00921602">
      <w:pPr>
        <w:numPr>
          <w:ilvl w:val="0"/>
          <w:numId w:val="2"/>
        </w:numPr>
        <w:spacing w:after="240"/>
        <w:ind w:left="714" w:hanging="357"/>
        <w:rPr>
          <w:rFonts w:ascii="Garamond" w:eastAsiaTheme="minorHAnsi" w:hAnsi="Garamond"/>
          <w:lang w:val="en-CA"/>
        </w:rPr>
      </w:pPr>
      <w:r w:rsidRPr="00B81118">
        <w:rPr>
          <w:rFonts w:ascii="Garamond" w:eastAsiaTheme="minorHAnsi" w:hAnsi="Garamond" w:cs="AdvTimes"/>
          <w:lang w:val="en-CA"/>
        </w:rPr>
        <w:t>i</w:t>
      </w:r>
      <w:r w:rsidRPr="00B81118">
        <w:rPr>
          <w:rFonts w:ascii="Garamond" w:eastAsiaTheme="minorHAnsi" w:hAnsi="Garamond"/>
          <w:lang w:val="en-CA"/>
        </w:rPr>
        <w:t xml:space="preserve">nsurance covering treatment for four health problems </w:t>
      </w:r>
      <w:r w:rsidRPr="00B81118">
        <w:rPr>
          <w:rFonts w:ascii="Garamond" w:eastAsiaTheme="minorHAnsi" w:hAnsi="Garamond"/>
          <w:lang w:val="en-CA"/>
        </w:rPr>
        <w:fldChar w:fldCharType="begin"/>
      </w:r>
      <w:r w:rsidRPr="00B81118">
        <w:rPr>
          <w:rFonts w:ascii="Garamond" w:eastAsiaTheme="minorHAnsi" w:hAnsi="Garamond"/>
          <w:lang w:val="en-CA"/>
        </w:rPr>
        <w:instrText xml:space="preserve"> ADDIN ZOTERO_ITEM CSL_CITATION {"citationID":"N5npgcDF","properties":{"formattedCitation":"(Gyldmark &amp; Morrison, 2001)","plainCitation":"(Gyldmark &amp; Morrison, 2001)"},"citationItems":[{"id":94,"uris":["http://zotero.org/users/2456724/items/5XIXXC46"],"uri":["http://zotero.org/users/2456724/items/5XIXXC46"],"itemData":{"id":94,"type":"article-journal","title":"Demand for Health Care in Denmark: Results of a National Sample Survey Using Contingent Valuation","container-title":"Social Science &amp; Medicine","page":"1023–1036","volume":"53","issue":"8","source":"Google Scholar","shortTitle":"Demand for health care in Denmark","author":[{"family":"Gyldmark","given":"Marlene"},{"family":"Morrison","given":"Gwendolyn C."}],"issued":{"date-parts":[["2001"]]},"accessed":{"date-parts":[["2015",5,2]]}}}],"schema":"https://github.com/citation-style-language/schema/raw/master/csl-citation.json"} </w:instrText>
      </w:r>
      <w:r w:rsidRPr="00B81118">
        <w:rPr>
          <w:rFonts w:ascii="Garamond" w:eastAsiaTheme="minorHAnsi" w:hAnsi="Garamond"/>
          <w:lang w:val="en-CA"/>
        </w:rPr>
        <w:fldChar w:fldCharType="separate"/>
      </w:r>
      <w:r w:rsidRPr="00B81118">
        <w:rPr>
          <w:rFonts w:ascii="Garamond" w:eastAsiaTheme="minorHAnsi" w:hAnsi="Garamond"/>
          <w:lang w:val="en-CA"/>
        </w:rPr>
        <w:t>(Gyldmark &amp; Morrison, 2001)</w:t>
      </w:r>
      <w:r w:rsidRPr="00B81118">
        <w:rPr>
          <w:rFonts w:ascii="Garamond" w:eastAsiaTheme="minorHAnsi" w:hAnsi="Garamond"/>
          <w:lang w:val="en-CA"/>
        </w:rPr>
        <w:fldChar w:fldCharType="end"/>
      </w:r>
    </w:p>
    <w:p w:rsidR="00921602" w:rsidRPr="00B81118" w:rsidRDefault="00921602" w:rsidP="00921602">
      <w:pPr>
        <w:numPr>
          <w:ilvl w:val="0"/>
          <w:numId w:val="2"/>
        </w:numPr>
        <w:spacing w:after="240"/>
        <w:ind w:left="714" w:hanging="357"/>
        <w:rPr>
          <w:rFonts w:ascii="Garamond" w:eastAsiaTheme="minorHAnsi" w:hAnsi="Garamond"/>
          <w:lang w:val="en-CA"/>
        </w:rPr>
      </w:pPr>
      <w:r w:rsidRPr="00B81118">
        <w:rPr>
          <w:rFonts w:ascii="Garamond" w:eastAsiaTheme="minorHAnsi" w:hAnsi="Garamond"/>
          <w:lang w:val="en-CA"/>
        </w:rPr>
        <w:t xml:space="preserve">choice of treatment among carers of Alzheimer’s patients </w:t>
      </w:r>
      <w:r w:rsidRPr="00B81118">
        <w:rPr>
          <w:rFonts w:ascii="Garamond" w:eastAsiaTheme="minorHAnsi" w:hAnsi="Garamond"/>
          <w:lang w:val="en-CA"/>
        </w:rPr>
        <w:fldChar w:fldCharType="begin"/>
      </w:r>
      <w:r w:rsidRPr="00B81118">
        <w:rPr>
          <w:rFonts w:ascii="Garamond" w:eastAsiaTheme="minorHAnsi" w:hAnsi="Garamond"/>
          <w:lang w:val="en-CA"/>
        </w:rPr>
        <w:instrText xml:space="preserve"> ADDIN ZOTERO_ITEM CSL_CITATION {"citationID":"JMiz8tor","properties":{"formattedCitation":"(Oremus &amp; Tarride, 2008)","plainCitation":"(Oremus &amp; Tarride, 2008)"},"citationItems":[{"id":107,"uris":["http://zotero.org/users/2456724/items/V8W6N6VS"],"uri":["http://zotero.org/users/2456724/items/V8W6N6VS"],"itemData":{"id":107,"type":"article-journal","title":"A Systematic Review of the Use of Contingent Valuation in Alzheimer's Disease Research","container-title":"Dementia","page":"461-480","volume":"7","issue":"4","source":"CrossRef","DOI":"10.1177/1471301208096630","ISSN":"1471-3012","language":"en","author":[{"family":"Oremus","given":"M."},{"family":"Tarride","given":"J.-E."}],"issued":{"date-parts":[["2008",11,1]]},"accessed":{"date-parts":[["2015",5,2]]}}}],"schema":"https://github.com/citation-style-language/schema/raw/master/csl-citation.json"} </w:instrText>
      </w:r>
      <w:r w:rsidRPr="00B81118">
        <w:rPr>
          <w:rFonts w:ascii="Garamond" w:eastAsiaTheme="minorHAnsi" w:hAnsi="Garamond"/>
          <w:lang w:val="en-CA"/>
        </w:rPr>
        <w:fldChar w:fldCharType="separate"/>
      </w:r>
      <w:r w:rsidRPr="00B81118">
        <w:rPr>
          <w:rFonts w:ascii="Garamond" w:eastAsiaTheme="minorHAnsi" w:hAnsi="Garamond"/>
          <w:lang w:val="en-CA"/>
        </w:rPr>
        <w:t>(Oremus &amp; Tarride, 2008)</w:t>
      </w:r>
      <w:r w:rsidRPr="00B81118">
        <w:rPr>
          <w:rFonts w:ascii="Garamond" w:eastAsiaTheme="minorHAnsi" w:hAnsi="Garamond"/>
          <w:lang w:val="en-CA"/>
        </w:rPr>
        <w:fldChar w:fldCharType="end"/>
      </w:r>
      <w:r w:rsidRPr="00B81118">
        <w:rPr>
          <w:rFonts w:ascii="Garamond" w:eastAsiaTheme="minorHAnsi" w:hAnsi="Garamond"/>
          <w:lang w:val="en-CA"/>
        </w:rPr>
        <w:t xml:space="preserve"> and </w:t>
      </w:r>
      <w:r w:rsidRPr="00B81118">
        <w:rPr>
          <w:rFonts w:ascii="Garamond" w:eastAsiaTheme="minorHAnsi" w:hAnsi="Garamond"/>
          <w:lang w:val="en-CA"/>
        </w:rPr>
        <w:fldChar w:fldCharType="begin"/>
      </w:r>
      <w:r w:rsidRPr="00B81118">
        <w:rPr>
          <w:rFonts w:ascii="Garamond" w:eastAsiaTheme="minorHAnsi" w:hAnsi="Garamond"/>
          <w:lang w:val="en-CA"/>
        </w:rPr>
        <w:instrText xml:space="preserve"> ADDIN ZOTERO_ITEM CSL_CITATION {"citationID":"Ie3o2uiy","properties":{"formattedCitation":"(Werner, Schnaider-Beeri, Aharon, &amp; Davidson, 2002)","plainCitation":"(Werner, Schnaider-Beeri, Aharon, &amp; Davidson, 2002)"},"citationItems":[{"id":114,"uris":["http://zotero.org/users/2456724/items/I6QKZIGC"],"uri":["http://zotero.org/users/2456724/items/I6QKZIGC"],"itemData":{"id":114,"type":"article-journal","title":"Family Caregivers' Willingness to Pay for Drugs Indicated for the Treatment of Altzheimer's Tisease: An Economic or Psychological Model?","container-title":"Dementia","page":"59-74","volume":"1","issue":"1","source":"CrossRef","DOI":"10.1177/147130120200100109","ISSN":"1471-3012","shortTitle":"Family Caregivers' Willingness to Pay for Drugs Indicated for the Treatment of Alzheimer's Disease","language":"en","author":[{"family":"Werner","given":"P."},{"family":"Schnaider-Beeri","given":"M."},{"family":"Aharon","given":"J."},{"family":"Davidson","given":"M."}],"issued":{"date-parts":[["2002",2,1]]},"accessed":{"date-parts":[["2015",5,2]]}}}],"schema":"https://github.com/citation-style-language/schema/raw/master/csl-citation.json"} </w:instrText>
      </w:r>
      <w:r w:rsidRPr="00B81118">
        <w:rPr>
          <w:rFonts w:ascii="Garamond" w:eastAsiaTheme="minorHAnsi" w:hAnsi="Garamond"/>
          <w:lang w:val="en-CA"/>
        </w:rPr>
        <w:fldChar w:fldCharType="separate"/>
      </w:r>
      <w:r w:rsidRPr="00B81118">
        <w:rPr>
          <w:rFonts w:ascii="Garamond" w:eastAsiaTheme="minorHAnsi" w:hAnsi="Garamond"/>
          <w:lang w:val="en-CA"/>
        </w:rPr>
        <w:t>(Werner, Schnaider-Beeri, Aharon, &amp; Davidson, 2002)</w:t>
      </w:r>
      <w:r w:rsidRPr="00B81118">
        <w:rPr>
          <w:rFonts w:ascii="Garamond" w:eastAsiaTheme="minorHAnsi" w:hAnsi="Garamond"/>
          <w:lang w:val="en-CA"/>
        </w:rPr>
        <w:fldChar w:fldCharType="end"/>
      </w:r>
    </w:p>
    <w:p w:rsidR="00921602" w:rsidRPr="00B81118" w:rsidRDefault="00921602" w:rsidP="00921602">
      <w:pPr>
        <w:numPr>
          <w:ilvl w:val="0"/>
          <w:numId w:val="2"/>
        </w:numPr>
        <w:spacing w:after="240"/>
        <w:ind w:left="714" w:hanging="357"/>
        <w:rPr>
          <w:rFonts w:ascii="Garamond" w:eastAsiaTheme="minorHAnsi" w:hAnsi="Garamond"/>
          <w:lang w:val="en-CA"/>
        </w:rPr>
      </w:pPr>
      <w:r w:rsidRPr="00B81118">
        <w:rPr>
          <w:rFonts w:ascii="Garamond" w:eastAsiaTheme="minorHAnsi" w:hAnsi="Garamond"/>
          <w:lang w:val="en-CA"/>
        </w:rPr>
        <w:t xml:space="preserve">willingness to pay for treatments to avoid future angina episodes </w:t>
      </w:r>
      <w:r w:rsidRPr="00B81118">
        <w:rPr>
          <w:rFonts w:ascii="Garamond" w:eastAsiaTheme="minorHAnsi" w:hAnsi="Garamond"/>
          <w:lang w:val="en-CA"/>
        </w:rPr>
        <w:fldChar w:fldCharType="begin"/>
      </w:r>
      <w:r w:rsidRPr="00B81118">
        <w:rPr>
          <w:rFonts w:ascii="Garamond" w:eastAsiaTheme="minorHAnsi" w:hAnsi="Garamond"/>
          <w:lang w:val="en-CA"/>
        </w:rPr>
        <w:instrText xml:space="preserve"> ADDIN ZOTERO_ITEM CSL_CITATION {"citationID":"DzRJTIZU","properties":{"formattedCitation":"(Chestnut, Keller, Lambert, &amp; Rowe, 1996)","plainCitation":"(Chestnut, Keller, Lambert, &amp; Rowe, 1996)"},"citationItems":[{"id":78,"uris":["http://zotero.org/users/2456724/items/CBMBVMCB"],"uri":["http://zotero.org/users/2456724/items/CBMBVMCB"],"itemData":{"id":78,"type":"article-journal","title":"Measuring Heart Patients' Willingness to Pay for Changes in Angina Symptoms","container-title":"Medical Decision Making","page":"65-76","volume":"16","issue":"1","source":"CrossRef","DOI":"10.1177/0272989X9601600115","ISSN":"0272-989X","language":"en","author":[{"family":"Chestnut","given":"L. G."},{"family":"Keller","given":"L. R."},{"family":"Lambert","given":"W. E."},{"family":"Rowe","given":"R. D."}],"issued":{"date-parts":[["1996",2,1]]},"accessed":{"date-parts":[["2015",5,2]]}}}],"schema":"https://github.com/citation-style-language/schema/raw/master/csl-citation.json"} </w:instrText>
      </w:r>
      <w:r w:rsidRPr="00B81118">
        <w:rPr>
          <w:rFonts w:ascii="Garamond" w:eastAsiaTheme="minorHAnsi" w:hAnsi="Garamond"/>
          <w:lang w:val="en-CA"/>
        </w:rPr>
        <w:fldChar w:fldCharType="separate"/>
      </w:r>
      <w:r w:rsidRPr="00B81118">
        <w:rPr>
          <w:rFonts w:ascii="Garamond" w:eastAsiaTheme="minorHAnsi" w:hAnsi="Garamond"/>
          <w:lang w:val="en-CA"/>
        </w:rPr>
        <w:t>(Chestnut, Keller, Lambert, &amp; Rowe, 1996)</w:t>
      </w:r>
      <w:r w:rsidRPr="00B81118">
        <w:rPr>
          <w:rFonts w:ascii="Garamond" w:eastAsiaTheme="minorHAnsi" w:hAnsi="Garamond"/>
          <w:lang w:val="en-CA"/>
        </w:rPr>
        <w:fldChar w:fldCharType="end"/>
      </w:r>
    </w:p>
    <w:p w:rsidR="00921602" w:rsidRPr="00B81118" w:rsidRDefault="00921602" w:rsidP="00921602">
      <w:pPr>
        <w:numPr>
          <w:ilvl w:val="0"/>
          <w:numId w:val="2"/>
        </w:numPr>
        <w:spacing w:after="240"/>
        <w:ind w:left="714" w:hanging="357"/>
        <w:rPr>
          <w:rFonts w:ascii="Garamond" w:eastAsiaTheme="minorHAnsi" w:hAnsi="Garamond"/>
          <w:lang w:val="en-CA"/>
        </w:rPr>
      </w:pPr>
      <w:r w:rsidRPr="00B81118">
        <w:rPr>
          <w:rFonts w:ascii="Garamond" w:eastAsiaTheme="minorHAnsi" w:hAnsi="Garamond"/>
          <w:lang w:val="en-CA"/>
        </w:rPr>
        <w:t xml:space="preserve">mothers’ willingness to pay for child health </w:t>
      </w:r>
      <w:r w:rsidRPr="00B81118">
        <w:rPr>
          <w:rFonts w:ascii="Garamond" w:eastAsiaTheme="minorHAnsi" w:hAnsi="Garamond"/>
          <w:lang w:val="en-CA"/>
        </w:rPr>
        <w:fldChar w:fldCharType="begin"/>
      </w:r>
      <w:r w:rsidRPr="00B81118">
        <w:rPr>
          <w:rFonts w:ascii="Garamond" w:eastAsiaTheme="minorHAnsi" w:hAnsi="Garamond"/>
          <w:lang w:val="en-CA"/>
        </w:rPr>
        <w:instrText xml:space="preserve"> ADDIN ZOTERO_ITEM CSL_CITATION {"citationID":"bUatsXO3","properties":{"formattedCitation":"(Liu, Hammitt, Wang, Liu, &amp; others, 2000)","plainCitation":"(Liu, Hammitt, Wang, Liu, &amp; others, 2000)"},"citationItems":[{"id":72,"uris":["http://zotero.org/users/2456724/items/GVUJGRA7"],"uri":["http://zotero.org/users/2456724/items/GVUJGRA7"],"itemData":{"id":72,"type":"article-journal","title":"Mother's Willingness to Pay for Her Own and Her Child's Health: A Contingent Valuation Study in Taiwan","container-title":"Health Economics","page":"319–326","volume":"9","issue":"4","source":"Google Scholar","shortTitle":"Mother's willingness to pay for her own and her child's health","author":[{"family":"Liu","given":"Jin-Tan"},{"family":"Hammitt","given":"James K."},{"family":"Wang","given":"Jung-Der"},{"family":"Liu","given":"Jin-Long"},{"family":"others","given":""}],"issued":{"date-parts":[["2000"]]},"accessed":{"date-parts":[["2015",5,2]]}}}],"schema":"https://github.com/citation-style-language/schema/raw/master/csl-citation.json"} </w:instrText>
      </w:r>
      <w:r w:rsidRPr="00B81118">
        <w:rPr>
          <w:rFonts w:ascii="Garamond" w:eastAsiaTheme="minorHAnsi" w:hAnsi="Garamond"/>
          <w:lang w:val="en-CA"/>
        </w:rPr>
        <w:fldChar w:fldCharType="separate"/>
      </w:r>
      <w:r w:rsidRPr="00B81118">
        <w:rPr>
          <w:rFonts w:ascii="Garamond" w:eastAsiaTheme="minorHAnsi" w:hAnsi="Garamond"/>
          <w:lang w:val="en-CA"/>
        </w:rPr>
        <w:t>(Liu, Hammitt, Wang, Liu, &amp; others, 2000)</w:t>
      </w:r>
      <w:r w:rsidRPr="00B81118">
        <w:rPr>
          <w:rFonts w:ascii="Garamond" w:eastAsiaTheme="minorHAnsi" w:hAnsi="Garamond"/>
          <w:lang w:val="en-CA"/>
        </w:rPr>
        <w:fldChar w:fldCharType="end"/>
      </w:r>
    </w:p>
    <w:p w:rsidR="00921602" w:rsidRPr="00B81118" w:rsidRDefault="00921602" w:rsidP="00921602">
      <w:pPr>
        <w:autoSpaceDE w:val="0"/>
        <w:autoSpaceDN w:val="0"/>
        <w:adjustRightInd w:val="0"/>
        <w:spacing w:after="240"/>
        <w:rPr>
          <w:rFonts w:ascii="Garamond" w:hAnsi="Garamond"/>
          <w:lang w:val="en-CA"/>
        </w:rPr>
      </w:pPr>
      <w:r w:rsidRPr="00B81118">
        <w:rPr>
          <w:rFonts w:ascii="Garamond" w:hAnsi="Garamond"/>
          <w:lang w:val="en-CA"/>
        </w:rPr>
        <w:t xml:space="preserve">The simplest willingness to pay uses a sample survey and </w:t>
      </w:r>
      <w:r w:rsidR="001B57AF">
        <w:rPr>
          <w:rFonts w:ascii="Garamond" w:hAnsi="Garamond"/>
          <w:lang w:val="en-CA"/>
        </w:rPr>
        <w:t xml:space="preserve">assigns respondent to randomly assigned </w:t>
      </w:r>
      <w:r w:rsidRPr="00B81118">
        <w:rPr>
          <w:rFonts w:ascii="Garamond" w:hAnsi="Garamond"/>
          <w:lang w:val="en-CA"/>
        </w:rPr>
        <w:t>(at l</w:t>
      </w:r>
      <w:r w:rsidR="00C239D4" w:rsidRPr="00B81118">
        <w:rPr>
          <w:rFonts w:ascii="Garamond" w:hAnsi="Garamond"/>
          <w:lang w:val="en-CA"/>
        </w:rPr>
        <w:t xml:space="preserve">east three and ideally more) </w:t>
      </w:r>
      <w:r w:rsidR="001B57AF">
        <w:rPr>
          <w:rFonts w:ascii="Garamond" w:hAnsi="Garamond"/>
          <w:lang w:val="en-CA"/>
        </w:rPr>
        <w:t xml:space="preserve">groups. The test prices </w:t>
      </w:r>
      <w:r w:rsidR="00C239D4" w:rsidRPr="00B81118">
        <w:rPr>
          <w:rFonts w:ascii="Garamond" w:hAnsi="Garamond"/>
          <w:lang w:val="en-CA"/>
        </w:rPr>
        <w:t>for a good or service</w:t>
      </w:r>
      <w:r w:rsidR="001B57AF">
        <w:rPr>
          <w:rFonts w:ascii="Garamond" w:hAnsi="Garamond"/>
          <w:lang w:val="en-CA"/>
        </w:rPr>
        <w:t xml:space="preserve"> vary among the groups</w:t>
      </w:r>
      <w:r w:rsidRPr="00B81118">
        <w:rPr>
          <w:rFonts w:ascii="Garamond" w:hAnsi="Garamond"/>
          <w:lang w:val="en-CA"/>
        </w:rPr>
        <w:t>. The respondent</w:t>
      </w:r>
      <w:r w:rsidR="001B57AF">
        <w:rPr>
          <w:rFonts w:ascii="Garamond" w:hAnsi="Garamond"/>
          <w:lang w:val="en-CA"/>
        </w:rPr>
        <w:t>s</w:t>
      </w:r>
      <w:r w:rsidRPr="00B81118">
        <w:rPr>
          <w:rFonts w:ascii="Garamond" w:hAnsi="Garamond"/>
          <w:lang w:val="en-CA"/>
        </w:rPr>
        <w:t xml:space="preserve"> </w:t>
      </w:r>
      <w:r w:rsidR="001B57AF">
        <w:rPr>
          <w:rFonts w:ascii="Garamond" w:hAnsi="Garamond"/>
          <w:lang w:val="en-CA"/>
        </w:rPr>
        <w:t xml:space="preserve">in the first groups </w:t>
      </w:r>
      <w:r w:rsidRPr="00B81118">
        <w:rPr>
          <w:rFonts w:ascii="Garamond" w:hAnsi="Garamond"/>
          <w:lang w:val="en-CA"/>
        </w:rPr>
        <w:t>receive a description of the good Y and</w:t>
      </w:r>
      <w:r w:rsidR="001B57AF">
        <w:rPr>
          <w:rFonts w:ascii="Garamond" w:hAnsi="Garamond"/>
          <w:lang w:val="en-CA"/>
        </w:rPr>
        <w:t xml:space="preserve"> then respond</w:t>
      </w:r>
      <w:r w:rsidR="00C239D4" w:rsidRPr="00B81118">
        <w:rPr>
          <w:rFonts w:ascii="Garamond" w:hAnsi="Garamond"/>
          <w:lang w:val="en-CA"/>
        </w:rPr>
        <w:t xml:space="preserve"> “yes” or “no” to the question </w:t>
      </w:r>
      <w:r w:rsidR="003A3D3A">
        <w:rPr>
          <w:rFonts w:ascii="Garamond" w:hAnsi="Garamond"/>
          <w:lang w:val="en-CA"/>
        </w:rPr>
        <w:t xml:space="preserve">of whether </w:t>
      </w:r>
      <w:r w:rsidRPr="00B81118">
        <w:rPr>
          <w:rFonts w:ascii="Garamond" w:hAnsi="Garamond"/>
          <w:lang w:val="en-CA"/>
        </w:rPr>
        <w:t xml:space="preserve">they would purchase </w:t>
      </w:r>
      <w:r w:rsidR="003A3D3A">
        <w:rPr>
          <w:rFonts w:ascii="Garamond" w:hAnsi="Garamond"/>
          <w:lang w:val="en-CA"/>
        </w:rPr>
        <w:t xml:space="preserve">good Y </w:t>
      </w:r>
      <w:r w:rsidRPr="00B81118">
        <w:rPr>
          <w:rFonts w:ascii="Garamond" w:hAnsi="Garamond"/>
          <w:lang w:val="en-CA"/>
        </w:rPr>
        <w:t xml:space="preserve">at price </w:t>
      </w:r>
      <w:r w:rsidR="001B57AF">
        <w:rPr>
          <w:rFonts w:ascii="Garamond" w:hAnsi="Garamond"/>
          <w:lang w:val="en-CA"/>
        </w:rPr>
        <w:t>“P</w:t>
      </w:r>
      <w:r w:rsidRPr="001B57AF">
        <w:rPr>
          <w:rFonts w:ascii="Garamond" w:hAnsi="Garamond"/>
          <w:vertAlign w:val="subscript"/>
          <w:lang w:val="en-CA"/>
        </w:rPr>
        <w:t>1</w:t>
      </w:r>
      <w:r w:rsidR="001B57AF">
        <w:rPr>
          <w:rFonts w:ascii="Garamond" w:hAnsi="Garamond"/>
          <w:lang w:val="en-CA"/>
        </w:rPr>
        <w:t>”</w:t>
      </w:r>
      <w:r w:rsidRPr="00B81118">
        <w:rPr>
          <w:rFonts w:ascii="Garamond" w:hAnsi="Garamond"/>
          <w:lang w:val="en-CA"/>
        </w:rPr>
        <w:t>.</w:t>
      </w:r>
      <w:r w:rsidR="001B57AF">
        <w:rPr>
          <w:rFonts w:ascii="Garamond" w:hAnsi="Garamond"/>
          <w:lang w:val="en-CA"/>
        </w:rPr>
        <w:t xml:space="preserve"> </w:t>
      </w:r>
      <w:r w:rsidR="00683D24" w:rsidRPr="00B81118">
        <w:rPr>
          <w:rFonts w:ascii="Garamond" w:hAnsi="Garamond"/>
          <w:lang w:val="en-CA"/>
        </w:rPr>
        <w:t xml:space="preserve">Each group </w:t>
      </w:r>
      <w:r w:rsidR="001B57AF">
        <w:rPr>
          <w:rFonts w:ascii="Garamond" w:hAnsi="Garamond"/>
          <w:lang w:val="en-CA"/>
        </w:rPr>
        <w:t xml:space="preserve">presents a yes/no response to the question of purchaser where the only variable if the changing price Pi. Clearly the more discrete groups, the more information will be gathered on the demand for Y, but </w:t>
      </w:r>
      <w:r w:rsidR="001B57AF">
        <w:rPr>
          <w:rFonts w:ascii="Garamond" w:hAnsi="Garamond"/>
          <w:lang w:val="en-CA"/>
        </w:rPr>
        <w:lastRenderedPageBreak/>
        <w:t xml:space="preserve">sufficient sample must exist in each group to support reliable estimates of demand. </w:t>
      </w:r>
      <w:r w:rsidRPr="00B81118">
        <w:rPr>
          <w:rFonts w:ascii="Garamond" w:hAnsi="Garamond"/>
          <w:lang w:val="en-CA"/>
        </w:rPr>
        <w:t xml:space="preserve">The pattern </w:t>
      </w:r>
      <w:r w:rsidR="00C239D4" w:rsidRPr="00B81118">
        <w:rPr>
          <w:rFonts w:ascii="Garamond" w:hAnsi="Garamond"/>
          <w:lang w:val="en-CA"/>
        </w:rPr>
        <w:t xml:space="preserve">of </w:t>
      </w:r>
      <w:r w:rsidRPr="00B81118">
        <w:rPr>
          <w:rFonts w:ascii="Garamond" w:hAnsi="Garamond"/>
          <w:lang w:val="en-CA"/>
        </w:rPr>
        <w:t>yes/no (l/0</w:t>
      </w:r>
      <w:r w:rsidR="00C239D4" w:rsidRPr="00B81118">
        <w:rPr>
          <w:rFonts w:ascii="Garamond" w:hAnsi="Garamond"/>
          <w:lang w:val="en-CA"/>
        </w:rPr>
        <w:t>)</w:t>
      </w:r>
      <w:r w:rsidRPr="00B81118">
        <w:rPr>
          <w:rFonts w:ascii="Garamond" w:hAnsi="Garamond"/>
          <w:lang w:val="en-CA"/>
        </w:rPr>
        <w:t xml:space="preserve"> respon</w:t>
      </w:r>
      <w:r w:rsidR="00C239D4" w:rsidRPr="00B81118">
        <w:rPr>
          <w:rFonts w:ascii="Garamond" w:hAnsi="Garamond"/>
          <w:lang w:val="en-CA"/>
        </w:rPr>
        <w:t>ses</w:t>
      </w:r>
      <w:r w:rsidRPr="00B81118">
        <w:rPr>
          <w:rFonts w:ascii="Garamond" w:hAnsi="Garamond"/>
          <w:lang w:val="en-CA"/>
        </w:rPr>
        <w:t xml:space="preserve"> creates a qualitative variable, where the proportion of “No’s” will </w:t>
      </w:r>
      <w:r w:rsidR="00C239D4" w:rsidRPr="00B81118">
        <w:rPr>
          <w:rFonts w:ascii="Garamond" w:hAnsi="Garamond"/>
          <w:lang w:val="en-CA"/>
        </w:rPr>
        <w:t xml:space="preserve">typically </w:t>
      </w:r>
      <w:r w:rsidRPr="00B81118">
        <w:rPr>
          <w:rFonts w:ascii="Garamond" w:hAnsi="Garamond"/>
          <w:lang w:val="en-CA"/>
        </w:rPr>
        <w:t>fall as the price increases (for a normal good). This form of CV is</w:t>
      </w:r>
      <w:r w:rsidR="00B81118" w:rsidRPr="00B81118">
        <w:rPr>
          <w:rFonts w:ascii="Garamond" w:hAnsi="Garamond"/>
          <w:lang w:val="en-CA"/>
        </w:rPr>
        <w:t>,</w:t>
      </w:r>
      <w:r w:rsidRPr="00B81118">
        <w:rPr>
          <w:rFonts w:ascii="Garamond" w:hAnsi="Garamond"/>
          <w:lang w:val="en-CA"/>
        </w:rPr>
        <w:t xml:space="preserve"> </w:t>
      </w:r>
      <w:r w:rsidR="00683D24" w:rsidRPr="00B81118">
        <w:rPr>
          <w:rFonts w:ascii="Garamond" w:hAnsi="Garamond"/>
          <w:lang w:val="en-CA"/>
        </w:rPr>
        <w:t xml:space="preserve">naturally </w:t>
      </w:r>
      <w:proofErr w:type="gramStart"/>
      <w:r w:rsidR="00683D24" w:rsidRPr="00B81118">
        <w:rPr>
          <w:rFonts w:ascii="Garamond" w:hAnsi="Garamond"/>
          <w:lang w:val="en-CA"/>
        </w:rPr>
        <w:t>enough</w:t>
      </w:r>
      <w:r w:rsidR="00B81118" w:rsidRPr="00B81118">
        <w:rPr>
          <w:rFonts w:ascii="Garamond" w:hAnsi="Garamond"/>
          <w:lang w:val="en-CA"/>
        </w:rPr>
        <w:t xml:space="preserve">, </w:t>
      </w:r>
      <w:r w:rsidR="00683D24" w:rsidRPr="00B81118">
        <w:rPr>
          <w:rFonts w:ascii="Garamond" w:hAnsi="Garamond"/>
          <w:lang w:val="en-CA"/>
        </w:rPr>
        <w:t xml:space="preserve"> termed</w:t>
      </w:r>
      <w:proofErr w:type="gramEnd"/>
      <w:r w:rsidR="00683D24" w:rsidRPr="00B81118">
        <w:rPr>
          <w:rFonts w:ascii="Garamond" w:hAnsi="Garamond"/>
          <w:lang w:val="en-CA"/>
        </w:rPr>
        <w:t xml:space="preserve"> </w:t>
      </w:r>
      <w:r w:rsidRPr="00B81118">
        <w:rPr>
          <w:rFonts w:ascii="Garamond" w:hAnsi="Garamond"/>
          <w:lang w:val="en-CA"/>
        </w:rPr>
        <w:t>“dichotomous choice.”</w:t>
      </w:r>
      <w:r w:rsidR="00683D24" w:rsidRPr="00B81118">
        <w:rPr>
          <w:rFonts w:ascii="Garamond" w:hAnsi="Garamond"/>
          <w:lang w:val="en-CA"/>
        </w:rPr>
        <w:t xml:space="preserve"> The “trick” is to create a range of price options </w:t>
      </w:r>
      <w:r w:rsidR="00B81118" w:rsidRPr="00B81118">
        <w:rPr>
          <w:rFonts w:ascii="Garamond" w:hAnsi="Garamond"/>
          <w:lang w:val="en-CA"/>
        </w:rPr>
        <w:t xml:space="preserve">that </w:t>
      </w:r>
      <w:r w:rsidR="001C2AFB" w:rsidRPr="00B81118">
        <w:rPr>
          <w:rFonts w:ascii="Garamond" w:hAnsi="Garamond"/>
          <w:lang w:val="en-CA"/>
        </w:rPr>
        <w:t xml:space="preserve">avoid “corner” where at every price all respondents </w:t>
      </w:r>
      <w:r w:rsidR="00B81118" w:rsidRPr="00B81118">
        <w:rPr>
          <w:rFonts w:ascii="Garamond" w:hAnsi="Garamond"/>
          <w:lang w:val="en-CA"/>
        </w:rPr>
        <w:t xml:space="preserve">either </w:t>
      </w:r>
      <w:r w:rsidR="001C2AFB" w:rsidRPr="00B81118">
        <w:rPr>
          <w:rFonts w:ascii="Garamond" w:hAnsi="Garamond"/>
          <w:lang w:val="en-CA"/>
        </w:rPr>
        <w:t>accept or reject the option.</w:t>
      </w:r>
      <w:r w:rsidR="00683D24" w:rsidRPr="00B81118">
        <w:rPr>
          <w:rFonts w:ascii="Garamond" w:hAnsi="Garamond"/>
          <w:lang w:val="en-CA"/>
        </w:rPr>
        <w:t xml:space="preserve"> </w:t>
      </w:r>
    </w:p>
    <w:p w:rsidR="00921602" w:rsidRPr="00B81118" w:rsidRDefault="00921602" w:rsidP="00921602">
      <w:pPr>
        <w:autoSpaceDE w:val="0"/>
        <w:autoSpaceDN w:val="0"/>
        <w:adjustRightInd w:val="0"/>
        <w:spacing w:after="240"/>
        <w:rPr>
          <w:rFonts w:ascii="Garamond" w:hAnsi="Garamond"/>
          <w:lang w:val="en-CA"/>
        </w:rPr>
      </w:pPr>
      <w:r w:rsidRPr="00B81118">
        <w:rPr>
          <w:rFonts w:ascii="Garamond" w:hAnsi="Garamond"/>
          <w:lang w:val="en-CA"/>
        </w:rPr>
        <w:t xml:space="preserve">A variation of this approach </w:t>
      </w:r>
      <w:r w:rsidR="001C2AFB" w:rsidRPr="00B81118">
        <w:rPr>
          <w:rFonts w:ascii="Garamond" w:hAnsi="Garamond"/>
          <w:lang w:val="en-CA"/>
        </w:rPr>
        <w:t>use</w:t>
      </w:r>
      <w:r w:rsidR="00ED0EA4" w:rsidRPr="00B81118">
        <w:rPr>
          <w:rFonts w:ascii="Garamond" w:hAnsi="Garamond"/>
          <w:lang w:val="en-CA"/>
        </w:rPr>
        <w:t>s</w:t>
      </w:r>
      <w:r w:rsidR="001C2AFB" w:rsidRPr="00B81118">
        <w:rPr>
          <w:rFonts w:ascii="Garamond" w:hAnsi="Garamond"/>
          <w:lang w:val="en-CA"/>
        </w:rPr>
        <w:t xml:space="preserve"> </w:t>
      </w:r>
      <w:r w:rsidRPr="00B81118">
        <w:rPr>
          <w:rFonts w:ascii="Garamond" w:hAnsi="Garamond"/>
          <w:lang w:val="en-CA"/>
        </w:rPr>
        <w:t xml:space="preserve">a bidding game or a doubled bounded model. </w:t>
      </w:r>
      <w:r w:rsidR="001C2AFB" w:rsidRPr="00B81118">
        <w:rPr>
          <w:rFonts w:ascii="Garamond" w:hAnsi="Garamond"/>
          <w:lang w:val="en-CA"/>
        </w:rPr>
        <w:t xml:space="preserve">The respondent </w:t>
      </w:r>
      <w:r w:rsidRPr="00B81118">
        <w:rPr>
          <w:rFonts w:ascii="Garamond" w:hAnsi="Garamond"/>
          <w:lang w:val="en-CA"/>
        </w:rPr>
        <w:t xml:space="preserve">A </w:t>
      </w:r>
      <w:r w:rsidR="001C2AFB" w:rsidRPr="00B81118">
        <w:rPr>
          <w:rFonts w:ascii="Garamond" w:hAnsi="Garamond"/>
          <w:lang w:val="en-CA"/>
        </w:rPr>
        <w:t>accepts or rejects a trial price P</w:t>
      </w:r>
      <w:r w:rsidR="00B81118" w:rsidRPr="00B81118">
        <w:rPr>
          <w:rFonts w:ascii="Garamond" w:hAnsi="Garamond"/>
          <w:vertAlign w:val="subscript"/>
          <w:lang w:val="en-CA"/>
        </w:rPr>
        <w:t>A</w:t>
      </w:r>
      <w:r w:rsidR="00ED0EA4" w:rsidRPr="00B81118">
        <w:rPr>
          <w:rFonts w:ascii="Garamond" w:hAnsi="Garamond"/>
          <w:lang w:val="en-CA"/>
        </w:rPr>
        <w:t>;</w:t>
      </w:r>
      <w:r w:rsidR="001C2AFB" w:rsidRPr="00B81118">
        <w:rPr>
          <w:rFonts w:ascii="Garamond" w:hAnsi="Garamond"/>
          <w:lang w:val="en-CA"/>
        </w:rPr>
        <w:t xml:space="preserve"> </w:t>
      </w:r>
      <w:r w:rsidRPr="00B81118">
        <w:rPr>
          <w:rFonts w:ascii="Garamond" w:hAnsi="Garamond"/>
          <w:lang w:val="en-CA"/>
        </w:rPr>
        <w:t xml:space="preserve">a “Yes” elicits a follow-up question: </w:t>
      </w:r>
      <w:r w:rsidR="001C2AFB" w:rsidRPr="00B81118">
        <w:rPr>
          <w:rFonts w:ascii="Garamond" w:hAnsi="Garamond"/>
          <w:lang w:val="en-CA"/>
        </w:rPr>
        <w:t>“Would you purchase for price P</w:t>
      </w:r>
      <w:r w:rsidR="00ED0EA4" w:rsidRPr="00B81118">
        <w:rPr>
          <w:rFonts w:ascii="Garamond" w:hAnsi="Garamond"/>
          <w:vertAlign w:val="subscript"/>
          <w:lang w:val="en-CA"/>
        </w:rPr>
        <w:t>A</w:t>
      </w:r>
      <w:r w:rsidRPr="00B81118">
        <w:rPr>
          <w:rFonts w:ascii="Garamond" w:hAnsi="Garamond"/>
          <w:lang w:val="en-CA"/>
        </w:rPr>
        <w:t xml:space="preserve"> </w:t>
      </w:r>
      <w:r w:rsidR="00C9300D" w:rsidRPr="00B81118">
        <w:rPr>
          <w:rFonts w:ascii="Garamond" w:hAnsi="Garamond"/>
          <w:lang w:val="en-CA"/>
        </w:rPr>
        <w:t xml:space="preserve">+ </w:t>
      </w:r>
      <w:r w:rsidR="001C2AFB" w:rsidRPr="00B81118">
        <w:rPr>
          <w:rFonts w:ascii="Garamond" w:hAnsi="Garamond"/>
          <w:lang w:val="en-CA"/>
        </w:rPr>
        <w:t>X</w:t>
      </w:r>
      <w:r w:rsidRPr="00B81118">
        <w:rPr>
          <w:rFonts w:ascii="Garamond" w:hAnsi="Garamond"/>
          <w:lang w:val="en-CA"/>
        </w:rPr>
        <w:t xml:space="preserve">?”; </w:t>
      </w:r>
      <w:r w:rsidR="001C2AFB" w:rsidRPr="00B81118">
        <w:rPr>
          <w:rFonts w:ascii="Garamond" w:hAnsi="Garamond"/>
          <w:lang w:val="en-CA"/>
        </w:rPr>
        <w:t>a</w:t>
      </w:r>
      <w:r w:rsidRPr="00B81118">
        <w:rPr>
          <w:rFonts w:ascii="Garamond" w:hAnsi="Garamond"/>
          <w:lang w:val="en-CA"/>
        </w:rPr>
        <w:t xml:space="preserve"> “No” prompts the follow-up: “Would you purchase </w:t>
      </w:r>
      <w:r w:rsidR="003A3D3A">
        <w:rPr>
          <w:rFonts w:ascii="Garamond" w:hAnsi="Garamond"/>
          <w:lang w:val="en-CA"/>
        </w:rPr>
        <w:t>for</w:t>
      </w:r>
      <w:r w:rsidRPr="00B81118">
        <w:rPr>
          <w:rFonts w:ascii="Garamond" w:hAnsi="Garamond"/>
          <w:lang w:val="en-CA"/>
        </w:rPr>
        <w:t xml:space="preserve"> price </w:t>
      </w:r>
      <w:r w:rsidR="001C2AFB" w:rsidRPr="00B81118">
        <w:rPr>
          <w:rFonts w:ascii="Garamond" w:hAnsi="Garamond"/>
          <w:lang w:val="en-CA"/>
        </w:rPr>
        <w:t>P</w:t>
      </w:r>
      <w:r w:rsidR="00C9300D" w:rsidRPr="00B81118">
        <w:rPr>
          <w:rFonts w:ascii="Garamond" w:hAnsi="Garamond"/>
          <w:vertAlign w:val="subscript"/>
          <w:lang w:val="en-CA"/>
        </w:rPr>
        <w:t>A</w:t>
      </w:r>
      <w:r w:rsidR="001C2AFB" w:rsidRPr="00B81118">
        <w:rPr>
          <w:rFonts w:ascii="Garamond" w:hAnsi="Garamond"/>
          <w:lang w:val="en-CA"/>
        </w:rPr>
        <w:t xml:space="preserve"> </w:t>
      </w:r>
      <w:r w:rsidRPr="00B81118">
        <w:rPr>
          <w:rFonts w:ascii="Garamond" w:hAnsi="Garamond"/>
          <w:lang w:val="en-CA"/>
        </w:rPr>
        <w:t>-</w:t>
      </w:r>
      <w:r w:rsidR="001C2AFB" w:rsidRPr="00B81118">
        <w:rPr>
          <w:rFonts w:ascii="Garamond" w:hAnsi="Garamond"/>
          <w:lang w:val="en-CA"/>
        </w:rPr>
        <w:t xml:space="preserve"> Y</w:t>
      </w:r>
      <w:r w:rsidRPr="00B81118">
        <w:rPr>
          <w:rFonts w:ascii="Garamond" w:hAnsi="Garamond"/>
          <w:lang w:val="en-CA"/>
        </w:rPr>
        <w:t>?”</w:t>
      </w:r>
      <w:r w:rsidR="00B81118" w:rsidRPr="00B81118">
        <w:rPr>
          <w:rFonts w:ascii="Garamond" w:hAnsi="Garamond"/>
          <w:lang w:val="en-CA"/>
        </w:rPr>
        <w:t xml:space="preserve"> Respondents B, C,… start</w:t>
      </w:r>
      <w:r w:rsidR="00ED0EA4" w:rsidRPr="00B81118">
        <w:rPr>
          <w:rFonts w:ascii="Garamond" w:hAnsi="Garamond"/>
          <w:lang w:val="en-CA"/>
        </w:rPr>
        <w:t xml:space="preserve"> at higher values of P</w:t>
      </w:r>
      <w:r w:rsidR="00C9300D" w:rsidRPr="00B81118">
        <w:rPr>
          <w:rFonts w:ascii="Garamond" w:hAnsi="Garamond"/>
          <w:lang w:val="en-CA"/>
        </w:rPr>
        <w:t>i, typically greater than P</w:t>
      </w:r>
      <w:r w:rsidR="00C9300D" w:rsidRPr="00B81118">
        <w:rPr>
          <w:rFonts w:ascii="Garamond" w:hAnsi="Garamond"/>
          <w:vertAlign w:val="subscript"/>
          <w:lang w:val="en-CA"/>
        </w:rPr>
        <w:t>A</w:t>
      </w:r>
      <w:r w:rsidR="00C9300D" w:rsidRPr="00B81118">
        <w:rPr>
          <w:rFonts w:ascii="Garamond" w:hAnsi="Garamond"/>
          <w:lang w:val="en-CA"/>
        </w:rPr>
        <w:t xml:space="preserve"> + X. </w:t>
      </w:r>
      <w:r w:rsidRPr="00B81118">
        <w:rPr>
          <w:rFonts w:ascii="Garamond" w:hAnsi="Garamond"/>
          <w:lang w:val="en-CA"/>
        </w:rPr>
        <w:t xml:space="preserve">Boyle et al </w:t>
      </w:r>
      <w:r w:rsidRPr="00B81118">
        <w:rPr>
          <w:rFonts w:ascii="Garamond" w:hAnsi="Garamond"/>
          <w:lang w:val="en-CA"/>
        </w:rPr>
        <w:fldChar w:fldCharType="begin"/>
      </w:r>
      <w:r w:rsidRPr="00B81118">
        <w:rPr>
          <w:rFonts w:ascii="Garamond" w:hAnsi="Garamond"/>
          <w:lang w:val="en-CA"/>
        </w:rPr>
        <w:instrText xml:space="preserve"> ADDIN ZOTERO_ITEM CSL_CITATION {"citationID":"zavOTZmK","properties":{"formattedCitation":"(1985)","plainCitation":"(1985)"},"citationItems":[{"id":77,"uris":["http://zotero.org/users/2456724/items/DPUQ9ZW4"],"uri":["http://zotero.org/users/2456724/items/DPUQ9ZW4"],"itemData":{"id":77,"type":"article-journal","title":"Starting Point Bias in Contingent Valuation Bidding Games","container-title":"Land Economics","page":"188","volume":"61","issue":"2","source":"CrossRef","DOI":"10.2307/3145811","ISSN":"00237639","author":[{"family":"Boyle","given":"Kevin J."},{"family":"Bishop","given":"Richard C."},{"family":"Welsh","given":"Michael P."}],"issued":{"date-parts":[["1985",5]]},"accessed":{"date-parts":[["2015",5,2]]}},"suppress-author":true}],"schema":"https://github.com/citation-style-language/schema/raw/master/csl-citation.json"} </w:instrText>
      </w:r>
      <w:r w:rsidRPr="00B81118">
        <w:rPr>
          <w:rFonts w:ascii="Garamond" w:hAnsi="Garamond"/>
          <w:lang w:val="en-CA"/>
        </w:rPr>
        <w:fldChar w:fldCharType="separate"/>
      </w:r>
      <w:r w:rsidRPr="00B81118">
        <w:rPr>
          <w:rFonts w:ascii="Garamond" w:hAnsi="Garamond"/>
          <w:lang w:val="en-CA"/>
        </w:rPr>
        <w:t>(1985)</w:t>
      </w:r>
      <w:r w:rsidRPr="00B81118">
        <w:rPr>
          <w:rFonts w:ascii="Garamond" w:hAnsi="Garamond"/>
          <w:lang w:val="en-CA"/>
        </w:rPr>
        <w:fldChar w:fldCharType="end"/>
      </w:r>
      <w:r w:rsidRPr="00B81118">
        <w:rPr>
          <w:rFonts w:ascii="Garamond" w:hAnsi="Garamond"/>
          <w:lang w:val="en-CA"/>
        </w:rPr>
        <w:t xml:space="preserve"> and </w:t>
      </w:r>
      <w:proofErr w:type="spellStart"/>
      <w:r w:rsidRPr="00B81118">
        <w:rPr>
          <w:rFonts w:ascii="Garamond" w:hAnsi="Garamond"/>
          <w:lang w:val="en-CA"/>
        </w:rPr>
        <w:t>Flachiare</w:t>
      </w:r>
      <w:proofErr w:type="spellEnd"/>
      <w:r w:rsidRPr="00B81118">
        <w:rPr>
          <w:rFonts w:ascii="Garamond" w:hAnsi="Garamond"/>
          <w:lang w:val="en-CA"/>
        </w:rPr>
        <w:t xml:space="preserve"> &amp; </w:t>
      </w:r>
      <w:proofErr w:type="spellStart"/>
      <w:r w:rsidRPr="00B81118">
        <w:rPr>
          <w:rFonts w:ascii="Garamond" w:hAnsi="Garamond"/>
          <w:lang w:val="en-CA"/>
        </w:rPr>
        <w:t>Hollard</w:t>
      </w:r>
      <w:proofErr w:type="spellEnd"/>
      <w:r w:rsidRPr="00B81118">
        <w:rPr>
          <w:rFonts w:ascii="Garamond" w:hAnsi="Garamond"/>
          <w:lang w:val="en-CA"/>
        </w:rPr>
        <w:t xml:space="preserve"> </w:t>
      </w:r>
      <w:r w:rsidRPr="00B81118">
        <w:rPr>
          <w:rFonts w:ascii="Garamond" w:hAnsi="Garamond"/>
          <w:lang w:val="en-CA"/>
        </w:rPr>
        <w:fldChar w:fldCharType="begin"/>
      </w:r>
      <w:r w:rsidRPr="00B81118">
        <w:rPr>
          <w:rFonts w:ascii="Garamond" w:hAnsi="Garamond"/>
          <w:lang w:val="en-CA"/>
        </w:rPr>
        <w:instrText xml:space="preserve"> ADDIN ZOTERO_ITEM CSL_CITATION {"citationID":"xTjwLaiR","properties":{"formattedCitation":"(2006)","plainCitation":"(2006)"},"citationItems":[{"id":86,"uris":["http://zotero.org/users/2456724/items/J6HXCZIE"],"uri":["http://zotero.org/users/2456724/items/J6HXCZIE"],"itemData":{"id":86,"type":"article-journal","title":"Controlling Starting-Point Bias in Double-Bounded Contingent Valuation Surveys","container-title":"Land economics","page":"103–111","volume":"82","issue":"1","source":"Google Scholar","author":[{"family":"Flachaire","given":"Emmanuel"},{"family":"Hollard","given":"Guillaume"}],"issued":{"date-parts":[["2006"]]},"accessed":{"date-parts":[["2015",5,2]]}},"suppress-author":true}],"schema":"https://github.com/citation-style-language/schema/raw/master/csl-citation.json"} </w:instrText>
      </w:r>
      <w:r w:rsidRPr="00B81118">
        <w:rPr>
          <w:rFonts w:ascii="Garamond" w:hAnsi="Garamond"/>
          <w:lang w:val="en-CA"/>
        </w:rPr>
        <w:fldChar w:fldCharType="separate"/>
      </w:r>
      <w:r w:rsidRPr="00B81118">
        <w:rPr>
          <w:rFonts w:ascii="Garamond" w:hAnsi="Garamond"/>
          <w:lang w:val="en-CA"/>
        </w:rPr>
        <w:t>(2006)</w:t>
      </w:r>
      <w:r w:rsidRPr="00B81118">
        <w:rPr>
          <w:rFonts w:ascii="Garamond" w:hAnsi="Garamond"/>
          <w:lang w:val="en-CA"/>
        </w:rPr>
        <w:fldChar w:fldCharType="end"/>
      </w:r>
      <w:r w:rsidRPr="00B81118">
        <w:rPr>
          <w:rFonts w:ascii="Garamond" w:hAnsi="Garamond"/>
          <w:lang w:val="en-CA"/>
        </w:rPr>
        <w:t xml:space="preserve"> are two examples of this approach, </w:t>
      </w:r>
      <w:r w:rsidR="001C2AFB" w:rsidRPr="00B81118">
        <w:rPr>
          <w:rFonts w:ascii="Garamond" w:hAnsi="Garamond"/>
          <w:lang w:val="en-CA"/>
        </w:rPr>
        <w:t xml:space="preserve">which has become quite standard and </w:t>
      </w:r>
      <w:r w:rsidR="003A3D3A">
        <w:rPr>
          <w:rFonts w:ascii="Garamond" w:hAnsi="Garamond"/>
          <w:lang w:val="en-CA"/>
        </w:rPr>
        <w:t xml:space="preserve">is </w:t>
      </w:r>
      <w:r w:rsidR="001C2AFB" w:rsidRPr="00B81118">
        <w:rPr>
          <w:rFonts w:ascii="Garamond" w:hAnsi="Garamond"/>
          <w:lang w:val="en-CA"/>
        </w:rPr>
        <w:t>the technique used here.</w:t>
      </w:r>
    </w:p>
    <w:p w:rsidR="00D15B8A" w:rsidRPr="00B81118" w:rsidRDefault="00D15B8A" w:rsidP="00921602">
      <w:pPr>
        <w:autoSpaceDE w:val="0"/>
        <w:autoSpaceDN w:val="0"/>
        <w:adjustRightInd w:val="0"/>
        <w:spacing w:after="240"/>
        <w:rPr>
          <w:rFonts w:ascii="Garamond" w:hAnsi="Garamond"/>
          <w:lang w:val="en-CA"/>
        </w:rPr>
      </w:pPr>
      <w:r w:rsidRPr="00B81118">
        <w:rPr>
          <w:rFonts w:ascii="Garamond" w:hAnsi="Garamond"/>
          <w:lang w:val="en-CA"/>
        </w:rPr>
        <w:t xml:space="preserve">CV modelling </w:t>
      </w:r>
      <w:r w:rsidR="00C239D4" w:rsidRPr="00B81118">
        <w:rPr>
          <w:rFonts w:ascii="Garamond" w:hAnsi="Garamond"/>
          <w:lang w:val="en-CA"/>
        </w:rPr>
        <w:t xml:space="preserve">is simple in </w:t>
      </w:r>
      <w:r w:rsidR="001C2AFB" w:rsidRPr="00B81118">
        <w:rPr>
          <w:rFonts w:ascii="Garamond" w:hAnsi="Garamond"/>
          <w:lang w:val="en-CA"/>
        </w:rPr>
        <w:t>principle</w:t>
      </w:r>
      <w:r w:rsidR="003A3D3A">
        <w:rPr>
          <w:rFonts w:ascii="Garamond" w:hAnsi="Garamond"/>
          <w:lang w:val="en-CA"/>
        </w:rPr>
        <w:t>,</w:t>
      </w:r>
      <w:r w:rsidR="001C2AFB" w:rsidRPr="00B81118">
        <w:rPr>
          <w:rFonts w:ascii="Garamond" w:hAnsi="Garamond"/>
          <w:lang w:val="en-CA"/>
        </w:rPr>
        <w:t xml:space="preserve"> but </w:t>
      </w:r>
      <w:r w:rsidRPr="00B81118">
        <w:rPr>
          <w:rFonts w:ascii="Garamond" w:hAnsi="Garamond"/>
          <w:lang w:val="en-CA"/>
        </w:rPr>
        <w:t>faces important</w:t>
      </w:r>
      <w:r w:rsidR="00C239D4" w:rsidRPr="00B81118">
        <w:rPr>
          <w:rFonts w:ascii="Garamond" w:hAnsi="Garamond"/>
          <w:lang w:val="en-CA"/>
        </w:rPr>
        <w:t xml:space="preserve"> challenges</w:t>
      </w:r>
      <w:r w:rsidR="001C2AFB" w:rsidRPr="00B81118">
        <w:rPr>
          <w:rFonts w:ascii="Garamond" w:hAnsi="Garamond"/>
          <w:lang w:val="en-CA"/>
        </w:rPr>
        <w:t xml:space="preserve">. </w:t>
      </w:r>
      <w:proofErr w:type="spellStart"/>
      <w:r w:rsidR="00AA1BC1" w:rsidRPr="00B81118">
        <w:rPr>
          <w:rFonts w:ascii="Garamond" w:hAnsi="Garamond"/>
          <w:lang w:val="en-CA"/>
        </w:rPr>
        <w:t>Hausman</w:t>
      </w:r>
      <w:proofErr w:type="spellEnd"/>
      <w:r w:rsidR="00AA1BC1" w:rsidRPr="00B81118">
        <w:rPr>
          <w:rFonts w:ascii="Garamond" w:hAnsi="Garamond"/>
          <w:lang w:val="en-CA"/>
        </w:rPr>
        <w:t xml:space="preserve"> </w:t>
      </w:r>
      <w:r w:rsidR="001C2AFB" w:rsidRPr="00B81118">
        <w:rPr>
          <w:rFonts w:ascii="Garamond" w:hAnsi="Garamond"/>
          <w:lang w:val="en-CA"/>
        </w:rPr>
        <w:fldChar w:fldCharType="begin"/>
      </w:r>
      <w:r w:rsidR="001C2AFB" w:rsidRPr="00B81118">
        <w:rPr>
          <w:rFonts w:ascii="Garamond" w:hAnsi="Garamond"/>
          <w:lang w:val="en-CA"/>
        </w:rPr>
        <w:instrText xml:space="preserve"> ADDIN ZOTERO_ITEM CSL_CITATION {"citationID":"t47BCn7K","properties":{"formattedCitation":"(2012)","plainCitation":"(2012)"},"citationItems":[{"id":287,"uris":["http://zotero.org/users/2456724/items/CMRB3P99"],"uri":["http://zotero.org/users/2456724/items/CMRB3P99"],"itemData":{"id":287,"type":"article-journal","title":"Contingent Valuation: From Dubious to Hopeless","container-title":"Journal of Economic Perspectives","page":"43-56","volume":"26","issue":"4","source":"CrossRef","DOI":"10.1257/jep.26.4.43","ISSN":"0895-3309","shortTitle":"Contingent Valuation","language":"en","author":[{"family":"Hausman","given":"Jerry"}],"issued":{"date-parts":[["2012",11]]},"accessed":{"date-parts":[["2015",5,26]]}},"suppress-author":true}],"schema":"https://github.com/citation-style-language/schema/raw/master/csl-citation.json"} </w:instrText>
      </w:r>
      <w:r w:rsidR="001C2AFB" w:rsidRPr="00B81118">
        <w:rPr>
          <w:rFonts w:ascii="Garamond" w:hAnsi="Garamond"/>
          <w:lang w:val="en-CA"/>
        </w:rPr>
        <w:fldChar w:fldCharType="separate"/>
      </w:r>
      <w:r w:rsidR="001C2AFB" w:rsidRPr="00B81118">
        <w:rPr>
          <w:rFonts w:ascii="Garamond" w:hAnsi="Garamond"/>
        </w:rPr>
        <w:t>(2012)</w:t>
      </w:r>
      <w:r w:rsidR="001C2AFB" w:rsidRPr="00B81118">
        <w:rPr>
          <w:rFonts w:ascii="Garamond" w:hAnsi="Garamond"/>
          <w:lang w:val="en-CA"/>
        </w:rPr>
        <w:fldChar w:fldCharType="end"/>
      </w:r>
      <w:r w:rsidR="001C2AFB" w:rsidRPr="00B81118">
        <w:rPr>
          <w:rFonts w:ascii="Garamond" w:hAnsi="Garamond"/>
          <w:lang w:val="en-CA"/>
        </w:rPr>
        <w:t xml:space="preserve"> has presented a critique of CV in estimating non-use value, which </w:t>
      </w:r>
      <w:r w:rsidR="003A3D3A">
        <w:rPr>
          <w:rFonts w:ascii="Garamond" w:hAnsi="Garamond"/>
          <w:lang w:val="en-CA"/>
        </w:rPr>
        <w:t xml:space="preserve">is </w:t>
      </w:r>
      <w:r w:rsidR="001C2AFB" w:rsidRPr="00B81118">
        <w:rPr>
          <w:rFonts w:ascii="Garamond" w:hAnsi="Garamond"/>
          <w:lang w:val="en-CA"/>
        </w:rPr>
        <w:t xml:space="preserve">the standard scenario for </w:t>
      </w:r>
      <w:r w:rsidR="00C9300D" w:rsidRPr="00B81118">
        <w:rPr>
          <w:rFonts w:ascii="Garamond" w:hAnsi="Garamond"/>
          <w:lang w:val="en-CA"/>
        </w:rPr>
        <w:t>environmental goods and services. Typical examples of non-use value are preservation of wilderness areas remote from respondents or saving a species of frog in another part of the country. In a recent compendium several authors including notables such as Kenneth Arrow present a sceptical case that this technique can offer accurate measures of willingness-to-pay for non-use values</w:t>
      </w:r>
      <w:r w:rsidR="00AA1BC1" w:rsidRPr="00B81118">
        <w:rPr>
          <w:rFonts w:ascii="Garamond" w:hAnsi="Garamond"/>
          <w:lang w:val="en-CA"/>
        </w:rPr>
        <w:t xml:space="preserve"> </w:t>
      </w:r>
      <w:r w:rsidR="00AA1BC1" w:rsidRPr="00B81118">
        <w:rPr>
          <w:rFonts w:ascii="Garamond" w:hAnsi="Garamond"/>
          <w:lang w:val="en-CA"/>
        </w:rPr>
        <w:fldChar w:fldCharType="begin"/>
      </w:r>
      <w:r w:rsidR="00AA1BC1" w:rsidRPr="00B81118">
        <w:rPr>
          <w:rFonts w:ascii="Garamond" w:hAnsi="Garamond"/>
          <w:lang w:val="en-CA"/>
        </w:rPr>
        <w:instrText xml:space="preserve"> ADDIN ZOTERO_ITEM CSL_CITATION {"citationID":"7SiYOe9H","properties":{"formattedCitation":"(Hausman, J.A., 2012)","plainCitation":"(Hausman, J.A., 2012)"},"citationItems":[{"id":291,"uris":["http://zotero.org/users/2456724/items/BNCX2XC5"],"uri":["http://zotero.org/users/2456724/items/BNCX2XC5"],"itemData":{"id":291,"type":"book","title":"Contingent Valuation: A Critical Assessment","publisher":"North Holland","editor":[{"family":"Hausman, J.A.","given":""}],"issued":{"date-parts":[["2012"]]}}}],"schema":"https://github.com/citation-style-language/schema/raw/master/csl-citation.json"} </w:instrText>
      </w:r>
      <w:r w:rsidR="00AA1BC1" w:rsidRPr="00B81118">
        <w:rPr>
          <w:rFonts w:ascii="Garamond" w:hAnsi="Garamond"/>
          <w:lang w:val="en-CA"/>
        </w:rPr>
        <w:fldChar w:fldCharType="separate"/>
      </w:r>
      <w:r w:rsidR="00AA1BC1" w:rsidRPr="00B81118">
        <w:rPr>
          <w:rFonts w:ascii="Garamond" w:hAnsi="Garamond"/>
        </w:rPr>
        <w:t>(Hausman, J.A., 2012)</w:t>
      </w:r>
      <w:r w:rsidR="00AA1BC1" w:rsidRPr="00B81118">
        <w:rPr>
          <w:rFonts w:ascii="Garamond" w:hAnsi="Garamond"/>
          <w:lang w:val="en-CA"/>
        </w:rPr>
        <w:fldChar w:fldCharType="end"/>
      </w:r>
      <w:r w:rsidR="00AA1BC1" w:rsidRPr="00B81118">
        <w:rPr>
          <w:rFonts w:ascii="Garamond" w:hAnsi="Garamond"/>
          <w:lang w:val="en-CA"/>
        </w:rPr>
        <w:t>.  The key challenges of hypothetical bias clearly present import</w:t>
      </w:r>
      <w:r w:rsidR="001B57AF">
        <w:rPr>
          <w:rFonts w:ascii="Garamond" w:hAnsi="Garamond"/>
          <w:lang w:val="en-CA"/>
        </w:rPr>
        <w:t>ant</w:t>
      </w:r>
      <w:r w:rsidR="00AA1BC1" w:rsidRPr="00B81118">
        <w:rPr>
          <w:rFonts w:ascii="Garamond" w:hAnsi="Garamond"/>
          <w:lang w:val="en-CA"/>
        </w:rPr>
        <w:t xml:space="preserve"> barriers to respondents being able to place a value on these imaginary alternatives.</w:t>
      </w:r>
    </w:p>
    <w:p w:rsidR="00D15B8A" w:rsidRPr="00B81118" w:rsidRDefault="00AA1BC1" w:rsidP="00AA1BC1">
      <w:pPr>
        <w:autoSpaceDE w:val="0"/>
        <w:autoSpaceDN w:val="0"/>
        <w:adjustRightInd w:val="0"/>
        <w:spacing w:after="240"/>
        <w:rPr>
          <w:rFonts w:ascii="Garamond" w:hAnsi="Garamond"/>
          <w:lang w:val="en-CA"/>
        </w:rPr>
      </w:pPr>
      <w:r w:rsidRPr="00B81118">
        <w:rPr>
          <w:rFonts w:ascii="Garamond" w:hAnsi="Garamond"/>
          <w:lang w:val="en-CA"/>
        </w:rPr>
        <w:t>Using CV to estimate willingness-to-pay for use values, that is good</w:t>
      </w:r>
      <w:r w:rsidR="003A3D3A">
        <w:rPr>
          <w:rFonts w:ascii="Garamond" w:hAnsi="Garamond"/>
          <w:lang w:val="en-CA"/>
        </w:rPr>
        <w:t>s</w:t>
      </w:r>
      <w:r w:rsidRPr="00B81118">
        <w:rPr>
          <w:rFonts w:ascii="Garamond" w:hAnsi="Garamond"/>
          <w:lang w:val="en-CA"/>
        </w:rPr>
        <w:t xml:space="preserve">, services, and states of well-being experienced by the respondent, would appear to </w:t>
      </w:r>
      <w:r w:rsidR="00D13213">
        <w:rPr>
          <w:rFonts w:ascii="Garamond" w:hAnsi="Garamond"/>
          <w:lang w:val="en-CA"/>
        </w:rPr>
        <w:t xml:space="preserve">reduce the issue of hypothetical bias. </w:t>
      </w:r>
      <w:r w:rsidR="004A5E75" w:rsidRPr="00B81118">
        <w:rPr>
          <w:rFonts w:ascii="Garamond" w:hAnsi="Garamond"/>
          <w:lang w:val="en-CA"/>
        </w:rPr>
        <w:t>In addition to hypothetical bias, CV faces other challenges including</w:t>
      </w:r>
      <w:r w:rsidR="003A3D3A">
        <w:rPr>
          <w:rFonts w:ascii="Garamond" w:hAnsi="Garamond"/>
          <w:lang w:val="en-CA"/>
        </w:rPr>
        <w:t>:</w:t>
      </w:r>
    </w:p>
    <w:p w:rsidR="004A5E75" w:rsidRPr="00B81118" w:rsidRDefault="004A5E75" w:rsidP="00D15B8A">
      <w:pPr>
        <w:pStyle w:val="ListParagraph"/>
        <w:numPr>
          <w:ilvl w:val="0"/>
          <w:numId w:val="15"/>
        </w:numPr>
        <w:autoSpaceDE w:val="0"/>
        <w:autoSpaceDN w:val="0"/>
        <w:adjustRightInd w:val="0"/>
        <w:spacing w:after="240"/>
        <w:rPr>
          <w:rFonts w:ascii="Garamond" w:hAnsi="Garamond"/>
          <w:lang w:val="en-CA"/>
        </w:rPr>
      </w:pPr>
      <w:r w:rsidRPr="00B81118">
        <w:rPr>
          <w:rFonts w:ascii="Garamond" w:hAnsi="Garamond"/>
          <w:lang w:val="en-CA"/>
        </w:rPr>
        <w:t xml:space="preserve">task complexity (which is </w:t>
      </w:r>
      <w:r w:rsidR="00F97E61" w:rsidRPr="00B81118">
        <w:rPr>
          <w:rFonts w:ascii="Garamond" w:hAnsi="Garamond"/>
          <w:lang w:val="en-CA"/>
        </w:rPr>
        <w:t xml:space="preserve">another form of </w:t>
      </w:r>
      <w:r w:rsidRPr="00B81118">
        <w:rPr>
          <w:rFonts w:ascii="Garamond" w:hAnsi="Garamond"/>
          <w:lang w:val="en-CA"/>
        </w:rPr>
        <w:t>hypothetical bias)</w:t>
      </w:r>
    </w:p>
    <w:p w:rsidR="00D15B8A" w:rsidRPr="00B81118" w:rsidRDefault="00D15B8A" w:rsidP="00D15B8A">
      <w:pPr>
        <w:pStyle w:val="ListParagraph"/>
        <w:numPr>
          <w:ilvl w:val="0"/>
          <w:numId w:val="15"/>
        </w:numPr>
        <w:autoSpaceDE w:val="0"/>
        <w:autoSpaceDN w:val="0"/>
        <w:adjustRightInd w:val="0"/>
        <w:spacing w:after="240"/>
        <w:rPr>
          <w:rFonts w:ascii="Garamond" w:hAnsi="Garamond"/>
          <w:lang w:val="en-CA"/>
        </w:rPr>
      </w:pPr>
      <w:r w:rsidRPr="00B81118">
        <w:rPr>
          <w:rFonts w:ascii="Garamond" w:hAnsi="Garamond"/>
          <w:lang w:val="en-CA"/>
        </w:rPr>
        <w:t xml:space="preserve">strategic </w:t>
      </w:r>
      <w:r w:rsidR="00F7718A" w:rsidRPr="00B81118">
        <w:rPr>
          <w:rFonts w:ascii="Garamond" w:hAnsi="Garamond"/>
          <w:lang w:val="en-CA"/>
        </w:rPr>
        <w:t>bi</w:t>
      </w:r>
      <w:r w:rsidR="00FD7433" w:rsidRPr="00B81118">
        <w:rPr>
          <w:rFonts w:ascii="Garamond" w:hAnsi="Garamond"/>
          <w:lang w:val="en-CA"/>
        </w:rPr>
        <w:t>as</w:t>
      </w:r>
      <w:r w:rsidR="00F7718A" w:rsidRPr="00B81118">
        <w:rPr>
          <w:rFonts w:ascii="Garamond" w:hAnsi="Garamond"/>
          <w:lang w:val="en-CA"/>
        </w:rPr>
        <w:t xml:space="preserve"> and anchoring</w:t>
      </w:r>
    </w:p>
    <w:p w:rsidR="004B25C5" w:rsidRPr="00B81118" w:rsidRDefault="004B25C5" w:rsidP="00D15B8A">
      <w:pPr>
        <w:pStyle w:val="ListParagraph"/>
        <w:numPr>
          <w:ilvl w:val="0"/>
          <w:numId w:val="15"/>
        </w:numPr>
        <w:autoSpaceDE w:val="0"/>
        <w:autoSpaceDN w:val="0"/>
        <w:adjustRightInd w:val="0"/>
        <w:spacing w:after="240"/>
        <w:rPr>
          <w:rFonts w:ascii="Garamond" w:hAnsi="Garamond"/>
          <w:lang w:val="en-CA"/>
        </w:rPr>
      </w:pPr>
      <w:r w:rsidRPr="00B81118">
        <w:rPr>
          <w:rFonts w:ascii="Garamond" w:hAnsi="Garamond"/>
          <w:lang w:val="en-CA"/>
        </w:rPr>
        <w:t>recall decay</w:t>
      </w:r>
    </w:p>
    <w:p w:rsidR="00921602" w:rsidRPr="00CC617F" w:rsidRDefault="00921602" w:rsidP="00921602">
      <w:pPr>
        <w:autoSpaceDE w:val="0"/>
        <w:autoSpaceDN w:val="0"/>
        <w:adjustRightInd w:val="0"/>
        <w:spacing w:after="240"/>
        <w:rPr>
          <w:rFonts w:ascii="Garamond" w:hAnsi="Garamond"/>
          <w:lang w:val="en-CA"/>
        </w:rPr>
      </w:pPr>
      <w:r w:rsidRPr="00B81118">
        <w:rPr>
          <w:rFonts w:ascii="Garamond" w:hAnsi="Garamond"/>
          <w:lang w:val="en-CA"/>
        </w:rPr>
        <w:t>CV modelling can be</w:t>
      </w:r>
      <w:r w:rsidR="00D15B8A" w:rsidRPr="00B81118">
        <w:rPr>
          <w:rFonts w:ascii="Garamond" w:hAnsi="Garamond"/>
          <w:lang w:val="en-CA"/>
        </w:rPr>
        <w:t>come</w:t>
      </w:r>
      <w:r w:rsidRPr="00B81118">
        <w:rPr>
          <w:rFonts w:ascii="Garamond" w:hAnsi="Garamond"/>
          <w:lang w:val="en-CA"/>
        </w:rPr>
        <w:t xml:space="preserve"> very complex, depending on the nature of the good/services, the context of </w:t>
      </w:r>
      <w:r w:rsidR="00CC617F">
        <w:rPr>
          <w:rFonts w:ascii="Garamond" w:hAnsi="Garamond"/>
          <w:lang w:val="en-CA"/>
        </w:rPr>
        <w:t xml:space="preserve">hypothetical imaginary </w:t>
      </w:r>
      <w:r w:rsidRPr="00B81118">
        <w:rPr>
          <w:rFonts w:ascii="Garamond" w:hAnsi="Garamond"/>
          <w:lang w:val="en-CA"/>
        </w:rPr>
        <w:t>“market,” and the specific situation of the e</w:t>
      </w:r>
      <w:r w:rsidR="00CC617F">
        <w:rPr>
          <w:rFonts w:ascii="Garamond" w:hAnsi="Garamond"/>
          <w:lang w:val="en-CA"/>
        </w:rPr>
        <w:t>xperiment</w:t>
      </w:r>
      <w:r w:rsidRPr="00B81118">
        <w:rPr>
          <w:rFonts w:ascii="Garamond" w:hAnsi="Garamond"/>
          <w:lang w:val="en-CA"/>
        </w:rPr>
        <w:t xml:space="preserve">. </w:t>
      </w:r>
      <w:r w:rsidR="00D15B8A" w:rsidRPr="00B81118">
        <w:rPr>
          <w:rFonts w:ascii="Garamond" w:hAnsi="Garamond"/>
          <w:lang w:val="en-CA"/>
        </w:rPr>
        <w:t>Researchers need to take care that the comple</w:t>
      </w:r>
      <w:r w:rsidR="00F7718A" w:rsidRPr="00B81118">
        <w:rPr>
          <w:rFonts w:ascii="Garamond" w:hAnsi="Garamond"/>
          <w:lang w:val="en-CA"/>
        </w:rPr>
        <w:t xml:space="preserve">xity of the </w:t>
      </w:r>
      <w:r w:rsidR="00D13213">
        <w:rPr>
          <w:rFonts w:ascii="Garamond" w:hAnsi="Garamond"/>
          <w:lang w:val="en-CA"/>
        </w:rPr>
        <w:t xml:space="preserve">choice </w:t>
      </w:r>
      <w:r w:rsidR="00F7718A" w:rsidRPr="00B81118">
        <w:rPr>
          <w:rFonts w:ascii="Garamond" w:hAnsi="Garamond"/>
          <w:lang w:val="en-CA"/>
        </w:rPr>
        <w:t>alternatives especially when using patients and other vulnerable persons. Often, the subjects, the setting for the survey</w:t>
      </w:r>
      <w:r w:rsidR="004B25C5" w:rsidRPr="00B81118">
        <w:rPr>
          <w:rFonts w:ascii="Garamond" w:hAnsi="Garamond"/>
          <w:lang w:val="en-CA"/>
        </w:rPr>
        <w:t>,</w:t>
      </w:r>
      <w:r w:rsidR="00F7718A" w:rsidRPr="00B81118">
        <w:rPr>
          <w:rFonts w:ascii="Garamond" w:hAnsi="Garamond"/>
          <w:lang w:val="en-CA"/>
        </w:rPr>
        <w:t xml:space="preserve"> and the institutional context</w:t>
      </w:r>
      <w:r w:rsidR="004B25C5" w:rsidRPr="00B81118">
        <w:rPr>
          <w:rFonts w:ascii="Garamond" w:hAnsi="Garamond"/>
          <w:lang w:val="en-CA"/>
        </w:rPr>
        <w:t xml:space="preserve"> will condition the complexity of the questioning. This is especially </w:t>
      </w:r>
      <w:r w:rsidR="003A3D3A">
        <w:rPr>
          <w:rFonts w:ascii="Garamond" w:hAnsi="Garamond"/>
          <w:lang w:val="en-CA"/>
        </w:rPr>
        <w:t>true</w:t>
      </w:r>
      <w:r w:rsidR="004B25C5" w:rsidRPr="00B81118">
        <w:rPr>
          <w:rFonts w:ascii="Garamond" w:hAnsi="Garamond"/>
          <w:lang w:val="en-CA"/>
        </w:rPr>
        <w:t xml:space="preserve"> when asking patients experiencing a serious disease or victims of a workplace accident to value </w:t>
      </w:r>
      <w:r w:rsidR="004B25C5" w:rsidRPr="00CC617F">
        <w:rPr>
          <w:rFonts w:ascii="Garamond" w:hAnsi="Garamond"/>
          <w:lang w:val="en-CA"/>
        </w:rPr>
        <w:t>alternative states</w:t>
      </w:r>
      <w:r w:rsidR="00D13213">
        <w:rPr>
          <w:rFonts w:ascii="Garamond" w:hAnsi="Garamond"/>
          <w:lang w:val="en-CA"/>
        </w:rPr>
        <w:t xml:space="preserve"> of better health</w:t>
      </w:r>
      <w:r w:rsidR="004B25C5" w:rsidRPr="00CC617F">
        <w:rPr>
          <w:rFonts w:ascii="Garamond" w:hAnsi="Garamond"/>
          <w:lang w:val="en-CA"/>
        </w:rPr>
        <w:t>.</w:t>
      </w:r>
    </w:p>
    <w:p w:rsidR="00921602" w:rsidRPr="00D13213" w:rsidRDefault="004A5E75" w:rsidP="00921602">
      <w:pPr>
        <w:autoSpaceDE w:val="0"/>
        <w:autoSpaceDN w:val="0"/>
        <w:adjustRightInd w:val="0"/>
        <w:spacing w:after="240"/>
        <w:rPr>
          <w:rFonts w:ascii="Garamond" w:hAnsi="Garamond"/>
          <w:lang w:val="en-CA"/>
        </w:rPr>
      </w:pPr>
      <w:r w:rsidRPr="00D13213">
        <w:rPr>
          <w:rFonts w:ascii="Garamond" w:hAnsi="Garamond"/>
          <w:lang w:val="en-CA"/>
        </w:rPr>
        <w:t xml:space="preserve">Task complexity </w:t>
      </w:r>
      <w:proofErr w:type="spellStart"/>
      <w:r w:rsidR="00D13213" w:rsidRPr="00D13213">
        <w:rPr>
          <w:rFonts w:ascii="Garamond" w:hAnsi="Garamond"/>
          <w:lang w:val="en-CA"/>
        </w:rPr>
        <w:t>a</w:t>
      </w:r>
      <w:r w:rsidRPr="00D13213">
        <w:rPr>
          <w:rFonts w:ascii="Garamond" w:hAnsi="Garamond"/>
          <w:lang w:val="en-CA"/>
        </w:rPr>
        <w:t>emerges</w:t>
      </w:r>
      <w:proofErr w:type="spellEnd"/>
      <w:r w:rsidRPr="00D13213">
        <w:rPr>
          <w:rFonts w:ascii="Garamond" w:hAnsi="Garamond"/>
          <w:lang w:val="en-CA"/>
        </w:rPr>
        <w:t xml:space="preserve"> in health economics when estimating quality life years (QALYs). When healthy individuals are asked about their perceived loss in quality of life due to an accident that renders them a paraplegic, this is </w:t>
      </w:r>
      <w:r w:rsidR="00F97E61" w:rsidRPr="00D13213">
        <w:rPr>
          <w:rFonts w:ascii="Garamond" w:hAnsi="Garamond"/>
          <w:lang w:val="en-CA"/>
        </w:rPr>
        <w:t xml:space="preserve">the same as the hypothetical bias. However, asking someone rendered a paraplegic </w:t>
      </w:r>
      <w:r w:rsidR="00F97E61" w:rsidRPr="00D13213">
        <w:rPr>
          <w:rFonts w:ascii="Garamond" w:hAnsi="Garamond"/>
          <w:i/>
          <w:lang w:val="en-CA"/>
        </w:rPr>
        <w:t>after</w:t>
      </w:r>
      <w:r w:rsidR="00F97E61" w:rsidRPr="00D13213">
        <w:rPr>
          <w:rFonts w:ascii="Garamond" w:hAnsi="Garamond"/>
          <w:lang w:val="en-CA"/>
        </w:rPr>
        <w:t xml:space="preserve"> an accident to value their quality of life compared </w:t>
      </w:r>
      <w:r w:rsidR="00CC617F" w:rsidRPr="00D13213">
        <w:rPr>
          <w:rFonts w:ascii="Garamond" w:hAnsi="Garamond"/>
          <w:lang w:val="en-CA"/>
        </w:rPr>
        <w:t xml:space="preserve">to their previous health state </w:t>
      </w:r>
      <w:r w:rsidR="00F97E61" w:rsidRPr="00D13213">
        <w:rPr>
          <w:rFonts w:ascii="Garamond" w:hAnsi="Garamond"/>
          <w:lang w:val="en-CA"/>
        </w:rPr>
        <w:t xml:space="preserve">is less complex than as </w:t>
      </w:r>
      <w:r w:rsidRPr="00D13213">
        <w:rPr>
          <w:rFonts w:ascii="Garamond" w:hAnsi="Garamond"/>
          <w:lang w:val="en-CA"/>
        </w:rPr>
        <w:t>asking someone about the v</w:t>
      </w:r>
      <w:r w:rsidR="00F97E61" w:rsidRPr="00D13213">
        <w:rPr>
          <w:rFonts w:ascii="Garamond" w:hAnsi="Garamond"/>
          <w:lang w:val="en-CA"/>
        </w:rPr>
        <w:t>alue of a park they will never use</w:t>
      </w:r>
      <w:r w:rsidR="004B25C5" w:rsidRPr="00D13213">
        <w:rPr>
          <w:rFonts w:ascii="Garamond" w:hAnsi="Garamond"/>
          <w:lang w:val="en-CA"/>
        </w:rPr>
        <w:t>. For much of the CV literature, the complexity of the product/service is not that high, and most of the analysis tends to focus on technical aspects of estimating willingness to pay to obtain the good</w:t>
      </w:r>
      <w:r w:rsidR="00FD7433" w:rsidRPr="00D13213">
        <w:rPr>
          <w:rFonts w:ascii="Garamond" w:hAnsi="Garamond"/>
          <w:lang w:val="en-CA"/>
        </w:rPr>
        <w:t>/service</w:t>
      </w:r>
      <w:r w:rsidR="004B25C5" w:rsidRPr="00D13213">
        <w:rPr>
          <w:rFonts w:ascii="Garamond" w:hAnsi="Garamond"/>
          <w:lang w:val="en-CA"/>
        </w:rPr>
        <w:t xml:space="preserve">, or willingness to accept compensation for enduring the harm. </w:t>
      </w:r>
    </w:p>
    <w:p w:rsidR="00921602" w:rsidRPr="00D13213" w:rsidRDefault="00921602" w:rsidP="00921602">
      <w:pPr>
        <w:autoSpaceDE w:val="0"/>
        <w:autoSpaceDN w:val="0"/>
        <w:adjustRightInd w:val="0"/>
        <w:spacing w:after="240"/>
        <w:rPr>
          <w:rFonts w:ascii="Garamond" w:hAnsi="Garamond"/>
          <w:lang w:val="en-CA"/>
        </w:rPr>
      </w:pPr>
      <w:r w:rsidRPr="00D13213">
        <w:rPr>
          <w:rFonts w:ascii="Garamond" w:hAnsi="Garamond"/>
          <w:lang w:val="en-CA"/>
        </w:rPr>
        <w:lastRenderedPageBreak/>
        <w:t xml:space="preserve">Strategic bias refers to respondents responding with inflated or depressed estimates of value, </w:t>
      </w:r>
      <w:r w:rsidR="00FD7433" w:rsidRPr="00D13213">
        <w:rPr>
          <w:rFonts w:ascii="Garamond" w:hAnsi="Garamond"/>
          <w:lang w:val="en-CA"/>
        </w:rPr>
        <w:t xml:space="preserve">in </w:t>
      </w:r>
      <w:r w:rsidRPr="00D13213">
        <w:rPr>
          <w:rFonts w:ascii="Garamond" w:hAnsi="Garamond"/>
          <w:lang w:val="en-CA"/>
        </w:rPr>
        <w:t>the h</w:t>
      </w:r>
      <w:r w:rsidR="00FD7433" w:rsidRPr="00D13213">
        <w:rPr>
          <w:rFonts w:ascii="Garamond" w:hAnsi="Garamond"/>
          <w:lang w:val="en-CA"/>
        </w:rPr>
        <w:t>ope</w:t>
      </w:r>
      <w:r w:rsidRPr="00D13213">
        <w:rPr>
          <w:rFonts w:ascii="Garamond" w:hAnsi="Garamond"/>
          <w:lang w:val="en-CA"/>
        </w:rPr>
        <w:t xml:space="preserve"> that their answers will influence the price actually paid.</w:t>
      </w:r>
      <w:r w:rsidR="00FD7433" w:rsidRPr="00D13213">
        <w:rPr>
          <w:rFonts w:ascii="Garamond" w:hAnsi="Garamond"/>
          <w:lang w:val="en-CA"/>
        </w:rPr>
        <w:t xml:space="preserve"> Creating </w:t>
      </w:r>
      <w:r w:rsidR="006861B1" w:rsidRPr="00D13213">
        <w:rPr>
          <w:rFonts w:ascii="Garamond" w:hAnsi="Garamond"/>
          <w:lang w:val="en-CA"/>
        </w:rPr>
        <w:t xml:space="preserve">multiple discrete categories of pricing and segmenting the trial prices is one way to control for bias. </w:t>
      </w:r>
      <w:proofErr w:type="spellStart"/>
      <w:r w:rsidR="006861B1" w:rsidRPr="00D13213">
        <w:rPr>
          <w:rFonts w:ascii="Garamond" w:hAnsi="Garamond"/>
          <w:lang w:val="en-CA"/>
        </w:rPr>
        <w:t>Milion</w:t>
      </w:r>
      <w:proofErr w:type="spellEnd"/>
      <w:r w:rsidR="006861B1" w:rsidRPr="00D13213">
        <w:rPr>
          <w:rFonts w:ascii="Garamond" w:hAnsi="Garamond"/>
          <w:lang w:val="en-CA"/>
        </w:rPr>
        <w:t xml:space="preserve"> </w:t>
      </w:r>
      <w:r w:rsidR="006861B1" w:rsidRPr="00D13213">
        <w:rPr>
          <w:rFonts w:ascii="Garamond" w:hAnsi="Garamond"/>
          <w:lang w:val="en-CA"/>
        </w:rPr>
        <w:fldChar w:fldCharType="begin"/>
      </w:r>
      <w:r w:rsidR="006861B1" w:rsidRPr="00D13213">
        <w:rPr>
          <w:rFonts w:ascii="Garamond" w:hAnsi="Garamond"/>
          <w:lang w:val="en-CA"/>
        </w:rPr>
        <w:instrText xml:space="preserve"> ADDIN ZOTERO_ITEM CSL_CITATION {"citationID":"RCGayrWX","properties":{"formattedCitation":"(1989)","plainCitation":"(1989)"},"citationItems":[{"id":294,"uris":["http://zotero.org/users/2456724/items/89SJUN2S"],"uri":["http://zotero.org/users/2456724/items/89SJUN2S"],"itemData":{"id":294,"type":"article-journal","title":"Contingent Valuation Experiments for Strategic Behavior","container-title":"Journal of Environmental Economics and Management","page":"293-308","volume":"17","abstract":"The existence and extent of strategic disclosures in field contingent valuation surveys have\nbeen debated but few empirical studies are available. This paper summarizes the results of an\nexperiment to identify strategic behavior using alternative disclosure mechanisms with closedended\nand open-ended formats. In addition, the experiment examined the effect of mechanism\ndesign on respondents’ ability and willingness to disclose their personal valuation. Statistical\nresults using censored discrete regression analysis and nonparameteric means tests provide\nsome evidence of systematic differences due to strategic behavior. But the comparisons are\ninconclusive due to the significant influence of sample selection on valuation results using\nclosed-ended formats and the inherent limitations of comparative means test procedures.\nEvidence from this analysis cannot refute the hypothesis that respondents try, to the best of\ntheir ability, to provide truthful information. But the procedures used to interpret this\ninformation can have a significant effect on aggregate valuation results. 0 1989 Academic PUSS,\nInc.","author":[{"family":"Milon, J.W.,","given":""}],"issued":{"date-parts":[["1989"]]}},"suppress-author":true}],"schema":"https://github.com/citation-style-language/schema/raw/master/csl-citation.json"} </w:instrText>
      </w:r>
      <w:r w:rsidR="006861B1" w:rsidRPr="00D13213">
        <w:rPr>
          <w:rFonts w:ascii="Garamond" w:hAnsi="Garamond"/>
          <w:lang w:val="en-CA"/>
        </w:rPr>
        <w:fldChar w:fldCharType="separate"/>
      </w:r>
      <w:r w:rsidR="006861B1" w:rsidRPr="00D13213">
        <w:rPr>
          <w:rFonts w:ascii="Garamond" w:hAnsi="Garamond"/>
        </w:rPr>
        <w:t>(1989)</w:t>
      </w:r>
      <w:r w:rsidR="006861B1" w:rsidRPr="00D13213">
        <w:rPr>
          <w:rFonts w:ascii="Garamond" w:hAnsi="Garamond"/>
          <w:lang w:val="en-CA"/>
        </w:rPr>
        <w:fldChar w:fldCharType="end"/>
      </w:r>
      <w:r w:rsidR="006861B1" w:rsidRPr="00D13213">
        <w:rPr>
          <w:rFonts w:ascii="Garamond" w:hAnsi="Garamond"/>
          <w:lang w:val="en-CA"/>
        </w:rPr>
        <w:t xml:space="preserve"> i</w:t>
      </w:r>
      <w:r w:rsidR="00D13213" w:rsidRPr="00D13213">
        <w:rPr>
          <w:rFonts w:ascii="Garamond" w:hAnsi="Garamond"/>
          <w:lang w:val="en-CA"/>
        </w:rPr>
        <w:t>s an</w:t>
      </w:r>
      <w:r w:rsidR="006861B1" w:rsidRPr="00D13213">
        <w:rPr>
          <w:rFonts w:ascii="Garamond" w:hAnsi="Garamond"/>
          <w:lang w:val="en-CA"/>
        </w:rPr>
        <w:t xml:space="preserve"> early </w:t>
      </w:r>
      <w:r w:rsidR="00D13213" w:rsidRPr="00D13213">
        <w:rPr>
          <w:rFonts w:ascii="Garamond" w:hAnsi="Garamond"/>
          <w:lang w:val="en-CA"/>
        </w:rPr>
        <w:t xml:space="preserve">and </w:t>
      </w:r>
      <w:r w:rsidR="006861B1" w:rsidRPr="00D13213">
        <w:rPr>
          <w:rFonts w:ascii="Garamond" w:hAnsi="Garamond"/>
          <w:lang w:val="en-CA"/>
        </w:rPr>
        <w:t xml:space="preserve">careful review of the issue. </w:t>
      </w:r>
      <w:r w:rsidR="00D13213" w:rsidRPr="00D13213">
        <w:rPr>
          <w:rFonts w:ascii="Garamond" w:hAnsi="Garamond"/>
        </w:rPr>
        <w:t>It is vital that the researcher create an experimental setting where respondents understand that their WTP responses cannot affect real world prices.”</w:t>
      </w:r>
      <w:r w:rsidR="006861B1" w:rsidRPr="00D13213">
        <w:rPr>
          <w:rFonts w:ascii="Garamond" w:hAnsi="Garamond"/>
          <w:lang w:val="en-CA"/>
        </w:rPr>
        <w:t xml:space="preserve"> </w:t>
      </w:r>
    </w:p>
    <w:p w:rsidR="00921602" w:rsidRPr="00CC617F" w:rsidRDefault="00FD7433" w:rsidP="00921602">
      <w:pPr>
        <w:autoSpaceDE w:val="0"/>
        <w:autoSpaceDN w:val="0"/>
        <w:adjustRightInd w:val="0"/>
        <w:spacing w:after="240"/>
        <w:rPr>
          <w:rFonts w:ascii="Garamond" w:hAnsi="Garamond"/>
          <w:lang w:val="en-CA"/>
        </w:rPr>
      </w:pPr>
      <w:r w:rsidRPr="00D13213">
        <w:rPr>
          <w:rFonts w:ascii="Garamond" w:hAnsi="Garamond"/>
          <w:lang w:val="en-CA"/>
        </w:rPr>
        <w:t>A</w:t>
      </w:r>
      <w:r w:rsidR="00921602" w:rsidRPr="00D13213">
        <w:rPr>
          <w:rFonts w:ascii="Garamond" w:hAnsi="Garamond"/>
          <w:lang w:val="en-CA"/>
        </w:rPr>
        <w:t xml:space="preserve">nchoring may be manifest in the form of starting point bias and ordering bias. Starting point bias refers to the phenomena where the first price offered affects the second prices accepted/rejected. See Homes &amp; Kramer </w:t>
      </w:r>
      <w:r w:rsidR="00921602" w:rsidRPr="00D13213">
        <w:rPr>
          <w:rFonts w:ascii="Garamond" w:hAnsi="Garamond"/>
          <w:lang w:val="en-CA"/>
        </w:rPr>
        <w:fldChar w:fldCharType="begin"/>
      </w:r>
      <w:r w:rsidR="00921602" w:rsidRPr="00D13213">
        <w:rPr>
          <w:rFonts w:ascii="Garamond" w:hAnsi="Garamond"/>
          <w:lang w:val="en-CA"/>
        </w:rPr>
        <w:instrText xml:space="preserve"> ADDIN ZOTERO_ITEM CSL_CITATION {"citationID":"SSWMifSQ","properties":{"formattedCitation":"(1995)","plainCitation":"(1995)"},"citationItems":[{"id":127,"uris":["http://zotero.org/users/2456724/items/BFFAPB8N"],"uri":["http://zotero.org/users/2456724/items/BFFAPB8N"],"itemData":{"id":127,"type":"article-journal","title":"An Independent Sample Test for Yea-Saying and Starting Point Bias in Dichotomous Contingent Valuation","container-title":"Journal of Environmental Economics and Management","page":"121-32","volume":"29","author":[{"family":"Holmes, Thomas","given":""},{"family":"Kramer, Randall","given":""}],"issued":{"date-parts":[["1995"]]}},"suppress-author":true}],"schema":"https://github.com/citation-style-language/schema/raw/master/csl-citation.json"} </w:instrText>
      </w:r>
      <w:r w:rsidR="00921602" w:rsidRPr="00D13213">
        <w:rPr>
          <w:rFonts w:ascii="Garamond" w:hAnsi="Garamond"/>
          <w:lang w:val="en-CA"/>
        </w:rPr>
        <w:fldChar w:fldCharType="separate"/>
      </w:r>
      <w:r w:rsidR="00921602" w:rsidRPr="00D13213">
        <w:rPr>
          <w:rFonts w:ascii="Garamond" w:hAnsi="Garamond"/>
          <w:lang w:val="en-CA"/>
        </w:rPr>
        <w:t>(1995)</w:t>
      </w:r>
      <w:r w:rsidR="00921602" w:rsidRPr="00D13213">
        <w:rPr>
          <w:rFonts w:ascii="Garamond" w:hAnsi="Garamond"/>
          <w:lang w:val="en-CA"/>
        </w:rPr>
        <w:fldChar w:fldCharType="end"/>
      </w:r>
      <w:r w:rsidR="00921602" w:rsidRPr="00D13213">
        <w:rPr>
          <w:rFonts w:ascii="Garamond" w:hAnsi="Garamond"/>
          <w:lang w:val="en-CA"/>
        </w:rPr>
        <w:t xml:space="preserve"> and Whitehead </w:t>
      </w:r>
      <w:r w:rsidR="00921602" w:rsidRPr="00D13213">
        <w:rPr>
          <w:rFonts w:ascii="Garamond" w:hAnsi="Garamond"/>
          <w:lang w:val="en-CA"/>
        </w:rPr>
        <w:fldChar w:fldCharType="begin"/>
      </w:r>
      <w:r w:rsidR="00921602" w:rsidRPr="00D13213">
        <w:rPr>
          <w:rFonts w:ascii="Garamond" w:hAnsi="Garamond"/>
          <w:lang w:val="en-CA"/>
        </w:rPr>
        <w:instrText xml:space="preserve"> ADDIN ZOTERO_ITEM CSL_CITATION {"citationID":"VIIQTyy2","properties":{"formattedCitation":"(2002)","plainCitation":"(2002)"},"citationItems":[{"id":130,"uris":["http://zotero.org/users/2456724/items/U9G2WRQW"],"uri":["http://zotero.org/users/2456724/items/U9G2WRQW"],"itemData":{"id":130,"type":"article-journal","title":"Incentive Incompatibility and Starting-Point Bias in Iterative Valuation Questions","container-title":"Land Economics","page":"285-297","volume":"78","issue":"2","author":[{"family":"Whitehead, John","given":""}],"issued":{"date-parts":[["2002",5]]}},"suppress-author":true}],"schema":"https://github.com/citation-style-language/schema/raw/master/csl-citation.json"} </w:instrText>
      </w:r>
      <w:r w:rsidR="00921602" w:rsidRPr="00D13213">
        <w:rPr>
          <w:rFonts w:ascii="Garamond" w:hAnsi="Garamond"/>
          <w:lang w:val="en-CA"/>
        </w:rPr>
        <w:fldChar w:fldCharType="separate"/>
      </w:r>
      <w:r w:rsidR="00921602" w:rsidRPr="00D13213">
        <w:rPr>
          <w:rFonts w:ascii="Garamond" w:hAnsi="Garamond"/>
          <w:lang w:val="en-CA"/>
        </w:rPr>
        <w:t>(2002)</w:t>
      </w:r>
      <w:r w:rsidR="00921602" w:rsidRPr="00D13213">
        <w:rPr>
          <w:rFonts w:ascii="Garamond" w:hAnsi="Garamond"/>
          <w:lang w:val="en-CA"/>
        </w:rPr>
        <w:fldChar w:fldCharType="end"/>
      </w:r>
      <w:r w:rsidR="00921602" w:rsidRPr="00D13213">
        <w:rPr>
          <w:rFonts w:ascii="Garamond" w:hAnsi="Garamond"/>
          <w:lang w:val="en-CA"/>
        </w:rPr>
        <w:t xml:space="preserve"> for discussions of this. Ordering bias occurs when the order of the questions affects responses.</w:t>
      </w:r>
      <w:r w:rsidRPr="00D13213">
        <w:rPr>
          <w:rFonts w:ascii="Garamond" w:hAnsi="Garamond"/>
          <w:lang w:val="en-CA"/>
        </w:rPr>
        <w:t xml:space="preserve"> </w:t>
      </w:r>
      <w:r w:rsidR="006861B1" w:rsidRPr="00D13213">
        <w:rPr>
          <w:rFonts w:ascii="Garamond" w:hAnsi="Garamond"/>
          <w:lang w:val="en-CA"/>
        </w:rPr>
        <w:t>Rotating question order and other randomization techniques are the customary wa</w:t>
      </w:r>
      <w:r w:rsidR="00F96408" w:rsidRPr="00D13213">
        <w:rPr>
          <w:rFonts w:ascii="Garamond" w:hAnsi="Garamond"/>
          <w:lang w:val="en-CA"/>
        </w:rPr>
        <w:t>y</w:t>
      </w:r>
      <w:r w:rsidR="006861B1" w:rsidRPr="00D13213">
        <w:rPr>
          <w:rFonts w:ascii="Garamond" w:hAnsi="Garamond"/>
          <w:lang w:val="en-CA"/>
        </w:rPr>
        <w:t>s to manage these</w:t>
      </w:r>
      <w:r w:rsidRPr="00D13213">
        <w:rPr>
          <w:rFonts w:ascii="Garamond" w:hAnsi="Garamond"/>
          <w:lang w:val="en-CA"/>
        </w:rPr>
        <w:t xml:space="preserve"> distortions in survey questionnaire</w:t>
      </w:r>
      <w:r w:rsidR="00CC617F" w:rsidRPr="00D13213">
        <w:rPr>
          <w:rFonts w:ascii="Garamond" w:hAnsi="Garamond"/>
          <w:lang w:val="en-CA"/>
        </w:rPr>
        <w:t xml:space="preserve">. </w:t>
      </w:r>
      <w:r w:rsidR="006861B1" w:rsidRPr="00D13213">
        <w:rPr>
          <w:rFonts w:ascii="Garamond" w:hAnsi="Garamond"/>
          <w:lang w:val="en-CA"/>
        </w:rPr>
        <w:t xml:space="preserve">It is important not to inflate the importance of ordering bias. As we explain the in the context of this research, the sequence of questions </w:t>
      </w:r>
      <w:proofErr w:type="gramStart"/>
      <w:r w:rsidR="006861B1" w:rsidRPr="00D13213">
        <w:rPr>
          <w:rFonts w:ascii="Garamond" w:hAnsi="Garamond"/>
          <w:lang w:val="en-CA"/>
        </w:rPr>
        <w:t>are</w:t>
      </w:r>
      <w:proofErr w:type="gramEnd"/>
      <w:r w:rsidR="006861B1" w:rsidRPr="00D13213">
        <w:rPr>
          <w:rFonts w:ascii="Garamond" w:hAnsi="Garamond"/>
          <w:lang w:val="en-CA"/>
        </w:rPr>
        <w:t xml:space="preserve"> instrumental in creating salience</w:t>
      </w:r>
      <w:r w:rsidR="006861B1" w:rsidRPr="00CC617F">
        <w:rPr>
          <w:rFonts w:ascii="Garamond" w:hAnsi="Garamond"/>
          <w:lang w:val="en-CA"/>
        </w:rPr>
        <w:t xml:space="preserve">.  </w:t>
      </w:r>
    </w:p>
    <w:p w:rsidR="00921602" w:rsidRPr="00CC617F" w:rsidRDefault="00921602" w:rsidP="00921602">
      <w:pPr>
        <w:spacing w:after="240"/>
        <w:rPr>
          <w:rFonts w:ascii="Garamond" w:hAnsi="Garamond" w:cs="Arial"/>
          <w:b/>
          <w:lang w:val="en-CA"/>
        </w:rPr>
      </w:pPr>
      <w:r w:rsidRPr="00CC617F">
        <w:rPr>
          <w:rFonts w:ascii="Garamond" w:hAnsi="Garamond" w:cs="Arial"/>
          <w:b/>
          <w:lang w:val="en-CA"/>
        </w:rPr>
        <w:t>Salience and stated choice methods</w:t>
      </w:r>
    </w:p>
    <w:p w:rsidR="00921602" w:rsidRPr="00CC617F" w:rsidRDefault="00921602" w:rsidP="00921602">
      <w:pPr>
        <w:spacing w:after="240"/>
        <w:rPr>
          <w:rFonts w:ascii="Garamond" w:hAnsi="Garamond"/>
          <w:lang w:val="en-CA"/>
        </w:rPr>
      </w:pPr>
      <w:r w:rsidRPr="00CC617F">
        <w:rPr>
          <w:rFonts w:ascii="Garamond" w:hAnsi="Garamond"/>
          <w:lang w:val="en-CA"/>
        </w:rPr>
        <w:t xml:space="preserve">Stated choice methods are by their nature unreal and require participants to engage in hypothetical selection of alternatives. This requires the researcher to create a high degree of salience to allow the research participants to understand alternatives and to make informed choices. Prospective stated choice engages respondents </w:t>
      </w:r>
      <w:r w:rsidR="00F96408">
        <w:rPr>
          <w:rFonts w:ascii="Garamond" w:hAnsi="Garamond"/>
          <w:lang w:val="en-CA"/>
        </w:rPr>
        <w:t xml:space="preserve">in </w:t>
      </w:r>
      <w:r w:rsidRPr="00CC617F">
        <w:rPr>
          <w:rFonts w:ascii="Garamond" w:hAnsi="Garamond"/>
          <w:lang w:val="en-CA"/>
        </w:rPr>
        <w:t xml:space="preserve">a decision making process before the </w:t>
      </w:r>
      <w:r w:rsidR="00FD7433" w:rsidRPr="00CC617F">
        <w:rPr>
          <w:rFonts w:ascii="Garamond" w:hAnsi="Garamond"/>
          <w:lang w:val="en-CA"/>
        </w:rPr>
        <w:t>fact</w:t>
      </w:r>
      <w:r w:rsidR="00F96408">
        <w:rPr>
          <w:rFonts w:ascii="Garamond" w:hAnsi="Garamond"/>
          <w:lang w:val="en-CA"/>
        </w:rPr>
        <w:t>,</w:t>
      </w:r>
      <w:r w:rsidR="00FD7433" w:rsidRPr="00CC617F">
        <w:rPr>
          <w:rFonts w:ascii="Garamond" w:hAnsi="Garamond"/>
          <w:lang w:val="en-CA"/>
        </w:rPr>
        <w:t xml:space="preserve"> such as valuing </w:t>
      </w:r>
      <w:r w:rsidR="007E32A3" w:rsidRPr="00CC617F">
        <w:rPr>
          <w:rFonts w:ascii="Garamond" w:hAnsi="Garamond"/>
          <w:lang w:val="en-CA"/>
        </w:rPr>
        <w:t>new products and services yet to be realized.</w:t>
      </w:r>
      <w:r w:rsidR="00FD7433" w:rsidRPr="00CC617F">
        <w:rPr>
          <w:rFonts w:ascii="Garamond" w:hAnsi="Garamond"/>
          <w:lang w:val="en-CA"/>
        </w:rPr>
        <w:t xml:space="preserve"> Retrospective stated choice ask</w:t>
      </w:r>
      <w:r w:rsidR="00F96408">
        <w:rPr>
          <w:rFonts w:ascii="Garamond" w:hAnsi="Garamond"/>
          <w:lang w:val="en-CA"/>
        </w:rPr>
        <w:t>s</w:t>
      </w:r>
      <w:r w:rsidR="00FD7433" w:rsidRPr="00CC617F">
        <w:rPr>
          <w:rFonts w:ascii="Garamond" w:hAnsi="Garamond"/>
          <w:lang w:val="en-CA"/>
        </w:rPr>
        <w:t xml:space="preserve"> respondent to </w:t>
      </w:r>
      <w:r w:rsidR="007E32A3" w:rsidRPr="00CC617F">
        <w:rPr>
          <w:rFonts w:ascii="Garamond" w:hAnsi="Garamond"/>
          <w:lang w:val="en-CA"/>
        </w:rPr>
        <w:t>value the reversal of a state, such as recovery of a polluted site or restoration of a previous state of good health.</w:t>
      </w:r>
    </w:p>
    <w:p w:rsidR="00CC617F" w:rsidRPr="00CC617F" w:rsidRDefault="00CC617F" w:rsidP="00CC617F">
      <w:pPr>
        <w:autoSpaceDE w:val="0"/>
        <w:autoSpaceDN w:val="0"/>
        <w:adjustRightInd w:val="0"/>
        <w:spacing w:after="240"/>
        <w:rPr>
          <w:rFonts w:ascii="Garamond" w:hAnsi="Garamond"/>
          <w:lang w:val="en-CA"/>
        </w:rPr>
      </w:pPr>
      <w:r w:rsidRPr="00CC617F">
        <w:rPr>
          <w:rFonts w:ascii="Garamond" w:hAnsi="Garamond"/>
          <w:lang w:val="en-CA"/>
        </w:rPr>
        <w:t>Providing detailed descriptions of the products/services in written form increases salience. Another approach is to use focus groups and then administer a CV test in the form o</w:t>
      </w:r>
      <w:r w:rsidR="00F96408">
        <w:rPr>
          <w:rFonts w:ascii="Garamond" w:hAnsi="Garamond"/>
          <w:lang w:val="en-CA"/>
        </w:rPr>
        <w:t>f</w:t>
      </w:r>
      <w:r w:rsidRPr="00CC617F">
        <w:rPr>
          <w:rFonts w:ascii="Garamond" w:hAnsi="Garamond"/>
          <w:lang w:val="en-CA"/>
        </w:rPr>
        <w:t xml:space="preserve"> a printed survey. In such a case, price would become one of the product attributes. Finally, one can use a telephone (or web-based) interview</w:t>
      </w:r>
      <w:r w:rsidR="00F96408">
        <w:rPr>
          <w:rFonts w:ascii="Garamond" w:hAnsi="Garamond"/>
          <w:lang w:val="en-CA"/>
        </w:rPr>
        <w:t>s</w:t>
      </w:r>
      <w:r w:rsidRPr="00CC617F">
        <w:rPr>
          <w:rFonts w:ascii="Garamond" w:hAnsi="Garamond"/>
          <w:lang w:val="en-CA"/>
        </w:rPr>
        <w:t>, where the questions prior to the CV tests qualify respondents and “educate”</w:t>
      </w:r>
      <w:r w:rsidR="00F96408">
        <w:rPr>
          <w:rFonts w:ascii="Garamond" w:hAnsi="Garamond"/>
          <w:lang w:val="en-CA"/>
        </w:rPr>
        <w:t xml:space="preserve"> them</w:t>
      </w:r>
      <w:r w:rsidRPr="00CC617F">
        <w:rPr>
          <w:rFonts w:ascii="Garamond" w:hAnsi="Garamond"/>
          <w:lang w:val="en-CA"/>
        </w:rPr>
        <w:t xml:space="preserve"> on the nature of the “product.”  </w:t>
      </w:r>
    </w:p>
    <w:p w:rsidR="00CC617F" w:rsidRDefault="007E32A3" w:rsidP="00FD7433">
      <w:pPr>
        <w:autoSpaceDE w:val="0"/>
        <w:autoSpaceDN w:val="0"/>
        <w:adjustRightInd w:val="0"/>
        <w:spacing w:after="240"/>
        <w:rPr>
          <w:rFonts w:ascii="Garamond" w:hAnsi="Garamond"/>
          <w:lang w:val="en-CA"/>
        </w:rPr>
      </w:pPr>
      <w:r w:rsidRPr="00CC617F">
        <w:rPr>
          <w:rFonts w:ascii="Garamond" w:hAnsi="Garamond"/>
          <w:lang w:val="en-CA"/>
        </w:rPr>
        <w:t>Two steps are essential to the development of salience</w:t>
      </w:r>
      <w:r w:rsidR="00F96408">
        <w:rPr>
          <w:rFonts w:ascii="Garamond" w:hAnsi="Garamond"/>
          <w:lang w:val="en-CA"/>
        </w:rPr>
        <w:t>,</w:t>
      </w:r>
      <w:r w:rsidRPr="00CC617F">
        <w:rPr>
          <w:rFonts w:ascii="Garamond" w:hAnsi="Garamond"/>
          <w:lang w:val="en-CA"/>
        </w:rPr>
        <w:t xml:space="preserve"> especially when valuing complex states, </w:t>
      </w:r>
      <w:r w:rsidR="00F96408">
        <w:rPr>
          <w:rFonts w:ascii="Garamond" w:hAnsi="Garamond"/>
          <w:lang w:val="en-CA"/>
        </w:rPr>
        <w:t>and when valuing</w:t>
      </w:r>
      <w:r w:rsidRPr="00CC617F">
        <w:rPr>
          <w:rFonts w:ascii="Garamond" w:hAnsi="Garamond"/>
          <w:lang w:val="en-CA"/>
        </w:rPr>
        <w:t xml:space="preserve"> health outcomes that </w:t>
      </w:r>
      <w:r w:rsidR="00CC617F" w:rsidRPr="00CC617F">
        <w:rPr>
          <w:rFonts w:ascii="Garamond" w:hAnsi="Garamond"/>
          <w:lang w:val="en-CA"/>
        </w:rPr>
        <w:t>res</w:t>
      </w:r>
      <w:r w:rsidR="00CC617F">
        <w:rPr>
          <w:rFonts w:ascii="Garamond" w:hAnsi="Garamond"/>
          <w:lang w:val="en-CA"/>
        </w:rPr>
        <w:t xml:space="preserve">pondents have yet to </w:t>
      </w:r>
      <w:r w:rsidRPr="00CC617F">
        <w:rPr>
          <w:rFonts w:ascii="Garamond" w:hAnsi="Garamond"/>
          <w:lang w:val="en-CA"/>
        </w:rPr>
        <w:t>experience. First, it is very important that</w:t>
      </w:r>
      <w:r w:rsidR="00F96408">
        <w:rPr>
          <w:rFonts w:ascii="Garamond" w:hAnsi="Garamond"/>
          <w:lang w:val="en-CA"/>
        </w:rPr>
        <w:t xml:space="preserve"> the</w:t>
      </w:r>
      <w:r w:rsidRPr="00CC617F">
        <w:rPr>
          <w:rFonts w:ascii="Garamond" w:hAnsi="Garamond"/>
          <w:lang w:val="en-CA"/>
        </w:rPr>
        <w:t xml:space="preserve"> researchers attain a</w:t>
      </w:r>
      <w:r w:rsidR="00CC617F">
        <w:rPr>
          <w:rFonts w:ascii="Garamond" w:hAnsi="Garamond"/>
          <w:lang w:val="en-CA"/>
        </w:rPr>
        <w:t>n</w:t>
      </w:r>
      <w:r w:rsidRPr="00CC617F">
        <w:rPr>
          <w:rFonts w:ascii="Garamond" w:hAnsi="Garamond"/>
          <w:lang w:val="en-CA"/>
        </w:rPr>
        <w:t xml:space="preserve"> understanding of what subjects have experienced. This can only occur through deep engagement with</w:t>
      </w:r>
      <w:r w:rsidR="00F96408">
        <w:rPr>
          <w:rFonts w:ascii="Garamond" w:hAnsi="Garamond"/>
          <w:lang w:val="en-CA"/>
        </w:rPr>
        <w:t xml:space="preserve"> the </w:t>
      </w:r>
      <w:proofErr w:type="spellStart"/>
      <w:r w:rsidR="00F96408">
        <w:rPr>
          <w:rFonts w:ascii="Garamond" w:hAnsi="Garamond"/>
          <w:lang w:val="en-CA"/>
        </w:rPr>
        <w:t>repsondents</w:t>
      </w:r>
      <w:proofErr w:type="spellEnd"/>
      <w:r w:rsidR="00F96408">
        <w:rPr>
          <w:rFonts w:ascii="Garamond" w:hAnsi="Garamond"/>
          <w:lang w:val="en-CA"/>
        </w:rPr>
        <w:t>—</w:t>
      </w:r>
      <w:r w:rsidRPr="00CC617F">
        <w:rPr>
          <w:rFonts w:ascii="Garamond" w:hAnsi="Garamond"/>
          <w:lang w:val="en-CA"/>
        </w:rPr>
        <w:t>in this case</w:t>
      </w:r>
      <w:r w:rsidR="00F96408">
        <w:rPr>
          <w:rFonts w:ascii="Garamond" w:hAnsi="Garamond"/>
          <w:lang w:val="en-CA"/>
        </w:rPr>
        <w:t>,</w:t>
      </w:r>
      <w:r w:rsidRPr="00CC617F">
        <w:rPr>
          <w:rFonts w:ascii="Garamond" w:hAnsi="Garamond"/>
          <w:lang w:val="en-CA"/>
        </w:rPr>
        <w:t xml:space="preserve"> injured workers</w:t>
      </w:r>
      <w:r w:rsidR="00F96408">
        <w:rPr>
          <w:rFonts w:ascii="Garamond" w:hAnsi="Garamond"/>
          <w:lang w:val="en-CA"/>
        </w:rPr>
        <w:t>—</w:t>
      </w:r>
      <w:r w:rsidRPr="00CC617F">
        <w:rPr>
          <w:rFonts w:ascii="Garamond" w:hAnsi="Garamond"/>
          <w:lang w:val="en-CA"/>
        </w:rPr>
        <w:t xml:space="preserve">to understand the nature of the trauma. Second, this </w:t>
      </w:r>
      <w:r w:rsidR="00CC617F">
        <w:rPr>
          <w:rFonts w:ascii="Garamond" w:hAnsi="Garamond"/>
          <w:lang w:val="en-CA"/>
        </w:rPr>
        <w:t>understanding</w:t>
      </w:r>
      <w:r w:rsidR="00F96408">
        <w:rPr>
          <w:rFonts w:ascii="Garamond" w:hAnsi="Garamond"/>
          <w:lang w:val="en-CA"/>
        </w:rPr>
        <w:t xml:space="preserve"> must</w:t>
      </w:r>
      <w:r w:rsidR="00CC617F">
        <w:rPr>
          <w:rFonts w:ascii="Garamond" w:hAnsi="Garamond"/>
          <w:lang w:val="en-CA"/>
        </w:rPr>
        <w:t xml:space="preserve"> </w:t>
      </w:r>
      <w:r w:rsidR="00CC617F" w:rsidRPr="00CC617F">
        <w:rPr>
          <w:rFonts w:ascii="Garamond" w:hAnsi="Garamond"/>
          <w:lang w:val="en-CA"/>
        </w:rPr>
        <w:t>support</w:t>
      </w:r>
      <w:r w:rsidRPr="00CC617F">
        <w:rPr>
          <w:rFonts w:ascii="Garamond" w:hAnsi="Garamond"/>
          <w:lang w:val="en-CA"/>
        </w:rPr>
        <w:t xml:space="preserve"> the creation of a structured recall process to trigger </w:t>
      </w:r>
      <w:r w:rsidR="00CC617F">
        <w:rPr>
          <w:rFonts w:ascii="Garamond" w:hAnsi="Garamond"/>
          <w:lang w:val="en-CA"/>
        </w:rPr>
        <w:t xml:space="preserve">memory of the accident and its aftermath. The experiment in this study occurs in the context of </w:t>
      </w:r>
      <w:proofErr w:type="spellStart"/>
      <w:r w:rsidR="00CC617F">
        <w:rPr>
          <w:rFonts w:ascii="Garamond" w:hAnsi="Garamond"/>
          <w:lang w:val="en-CA"/>
        </w:rPr>
        <w:t>o</w:t>
      </w:r>
      <w:r w:rsidR="00F6295B">
        <w:rPr>
          <w:rFonts w:ascii="Garamond" w:hAnsi="Garamond"/>
          <w:lang w:val="en-CA"/>
        </w:rPr>
        <w:t>f</w:t>
      </w:r>
      <w:proofErr w:type="spellEnd"/>
      <w:r w:rsidR="00CC617F">
        <w:rPr>
          <w:rFonts w:ascii="Garamond" w:hAnsi="Garamond"/>
          <w:lang w:val="en-CA"/>
        </w:rPr>
        <w:t xml:space="preserve"> a survey questionnaire designed to trigger recall of all the important dimensions of a workplace accident.</w:t>
      </w:r>
    </w:p>
    <w:p w:rsidR="00B714E1" w:rsidRPr="00C239D4" w:rsidRDefault="00B714E1">
      <w:pPr>
        <w:rPr>
          <w:rFonts w:ascii="Garamond" w:hAnsi="Garamond"/>
          <w:b/>
          <w:sz w:val="28"/>
          <w:szCs w:val="28"/>
        </w:rPr>
      </w:pPr>
      <w:r w:rsidRPr="00C239D4">
        <w:rPr>
          <w:rFonts w:ascii="Garamond" w:hAnsi="Garamond"/>
          <w:b/>
          <w:sz w:val="28"/>
          <w:szCs w:val="28"/>
        </w:rPr>
        <w:t xml:space="preserve">Qualitative impact of the accident on the worker and </w:t>
      </w:r>
      <w:proofErr w:type="spellStart"/>
      <w:r w:rsidRPr="00C239D4">
        <w:rPr>
          <w:rFonts w:ascii="Garamond" w:hAnsi="Garamond"/>
          <w:b/>
          <w:sz w:val="28"/>
          <w:szCs w:val="28"/>
        </w:rPr>
        <w:t>carer</w:t>
      </w:r>
      <w:proofErr w:type="spellEnd"/>
      <w:r w:rsidR="001E657F">
        <w:rPr>
          <w:rFonts w:ascii="Garamond" w:hAnsi="Garamond"/>
          <w:b/>
          <w:sz w:val="28"/>
          <w:szCs w:val="28"/>
        </w:rPr>
        <w:t>: embedding salience into the questionnaire.</w:t>
      </w:r>
    </w:p>
    <w:p w:rsidR="00B714E1" w:rsidRPr="00C239D4" w:rsidRDefault="00B714E1">
      <w:pPr>
        <w:rPr>
          <w:rFonts w:ascii="Garamond" w:hAnsi="Garamond"/>
          <w:b/>
          <w:sz w:val="28"/>
          <w:szCs w:val="28"/>
        </w:rPr>
      </w:pPr>
    </w:p>
    <w:p w:rsidR="004A0186" w:rsidRPr="00CC617F" w:rsidRDefault="004A0186" w:rsidP="004A0186">
      <w:pPr>
        <w:spacing w:after="240"/>
        <w:rPr>
          <w:rFonts w:ascii="Garamond" w:hAnsi="Garamond"/>
          <w:lang w:val="en-CA"/>
        </w:rPr>
      </w:pPr>
      <w:r w:rsidRPr="00CC617F">
        <w:rPr>
          <w:rFonts w:ascii="Garamond" w:hAnsi="Garamond"/>
        </w:rPr>
        <w:t>A central goal of this research is to understand the support systems outside</w:t>
      </w:r>
      <w:r w:rsidR="00F6295B">
        <w:rPr>
          <w:rFonts w:ascii="Garamond" w:hAnsi="Garamond"/>
        </w:rPr>
        <w:t xml:space="preserve"> the</w:t>
      </w:r>
      <w:r w:rsidRPr="00CC617F">
        <w:rPr>
          <w:rFonts w:ascii="Garamond" w:hAnsi="Garamond"/>
        </w:rPr>
        <w:t xml:space="preserve"> WCB and the health </w:t>
      </w:r>
      <w:r w:rsidRPr="00CC617F">
        <w:rPr>
          <w:rFonts w:ascii="Garamond" w:hAnsi="Garamond"/>
          <w:lang w:val="en-CA"/>
        </w:rPr>
        <w:t xml:space="preserve">care system, available to injured workers. Invariably this includes family members and friends </w:t>
      </w:r>
      <w:r w:rsidR="00F6295B">
        <w:rPr>
          <w:rFonts w:ascii="Garamond" w:hAnsi="Garamond"/>
          <w:lang w:val="en-CA"/>
        </w:rPr>
        <w:t>who</w:t>
      </w:r>
      <w:r w:rsidRPr="00CC617F">
        <w:rPr>
          <w:rFonts w:ascii="Garamond" w:hAnsi="Garamond"/>
          <w:lang w:val="en-CA"/>
        </w:rPr>
        <w:t xml:space="preserve"> provide support for the injured worker as he/she recovers. It is intuitive that the more severe and prolonged the injury, the more important such caregiving support becomes. It is also the case that a </w:t>
      </w:r>
      <w:r w:rsidRPr="00CC617F">
        <w:rPr>
          <w:rFonts w:ascii="Garamond" w:hAnsi="Garamond"/>
          <w:lang w:val="en-CA"/>
        </w:rPr>
        <w:lastRenderedPageBreak/>
        <w:t xml:space="preserve">support system may comprise more than one person, something that is more likely if the </w:t>
      </w:r>
      <w:proofErr w:type="gramStart"/>
      <w:r w:rsidRPr="00CC617F">
        <w:rPr>
          <w:rFonts w:ascii="Garamond" w:hAnsi="Garamond"/>
          <w:lang w:val="en-CA"/>
        </w:rPr>
        <w:t>families</w:t>
      </w:r>
      <w:proofErr w:type="gramEnd"/>
      <w:r w:rsidRPr="00CC617F">
        <w:rPr>
          <w:rFonts w:ascii="Garamond" w:hAnsi="Garamond"/>
          <w:lang w:val="en-CA"/>
        </w:rPr>
        <w:t xml:space="preserve"> members and friends have other family and work responsibilities, and if the injury is severe and the aftermath prolonged.</w:t>
      </w:r>
    </w:p>
    <w:p w:rsidR="004A0186" w:rsidRPr="00CC617F" w:rsidRDefault="004A0186" w:rsidP="004A0186">
      <w:pPr>
        <w:spacing w:after="240"/>
        <w:ind w:right="-450"/>
        <w:rPr>
          <w:rFonts w:ascii="Garamond" w:hAnsi="Garamond"/>
          <w:lang w:val="en-CA"/>
        </w:rPr>
      </w:pPr>
      <w:r w:rsidRPr="00CC617F">
        <w:rPr>
          <w:rFonts w:ascii="Garamond" w:hAnsi="Garamond"/>
          <w:lang w:val="en-CA"/>
        </w:rPr>
        <w:t>The qualitative technique employed to study such effects is termed a “dyadic interview” (dyads for short) which differs from other qualitative research, such as paired individual interviews and focus groups, in some important ways. All three methods share a core process, comprising careful selection of interviewees/participants, a structured interview guide, and experienced interviewers/moderators that can come “off script” to pursue important ideas not foreseen by the researcher.</w:t>
      </w:r>
      <w:r w:rsidR="00140531">
        <w:rPr>
          <w:rStyle w:val="FootnoteReference"/>
          <w:rFonts w:ascii="Garamond" w:hAnsi="Garamond"/>
          <w:lang w:val="en-CA"/>
        </w:rPr>
        <w:footnoteReference w:id="5"/>
      </w:r>
    </w:p>
    <w:p w:rsidR="00D13213" w:rsidRDefault="004A0186" w:rsidP="00D13213">
      <w:pPr>
        <w:rPr>
          <w:rFonts w:ascii="Garamond" w:hAnsi="Garamond"/>
          <w:lang w:val="en-CA"/>
        </w:rPr>
      </w:pPr>
      <w:r w:rsidRPr="00D13213">
        <w:rPr>
          <w:rFonts w:ascii="Garamond" w:hAnsi="Garamond"/>
          <w:lang w:val="en-CA"/>
        </w:rPr>
        <w:t>A dyad offers the opportunity to explore a shared event from the perspective of two individuals that have a long-standing relationship based on trust and familiarity. In the context of this research, the primary respondent (</w:t>
      </w:r>
      <w:r w:rsidR="00F6295B" w:rsidRPr="00D13213">
        <w:rPr>
          <w:rFonts w:ascii="Garamond" w:hAnsi="Garamond"/>
          <w:lang w:val="en-CA"/>
        </w:rPr>
        <w:t>injured worker</w:t>
      </w:r>
      <w:r w:rsidRPr="00D13213">
        <w:rPr>
          <w:rFonts w:ascii="Garamond" w:hAnsi="Garamond"/>
          <w:lang w:val="en-CA"/>
        </w:rPr>
        <w:t>) named the secondary respondent (the carer)</w:t>
      </w:r>
      <w:r w:rsidR="00461999" w:rsidRPr="00D13213">
        <w:rPr>
          <w:rFonts w:ascii="Garamond" w:hAnsi="Garamond"/>
          <w:lang w:val="en-CA"/>
        </w:rPr>
        <w:t xml:space="preserve"> who would be involved in the interview</w:t>
      </w:r>
      <w:r w:rsidRPr="00D13213">
        <w:rPr>
          <w:rFonts w:ascii="Garamond" w:hAnsi="Garamond"/>
          <w:lang w:val="en-CA"/>
        </w:rPr>
        <w:t>, and so a degree of trust and familiarity may be assumed</w:t>
      </w:r>
      <w:r w:rsidR="00D13213">
        <w:rPr>
          <w:rFonts w:ascii="Garamond" w:hAnsi="Garamond"/>
          <w:lang w:val="en-CA"/>
        </w:rPr>
        <w:t xml:space="preserve"> since in most cases the secondary respondent was a spouse, sibling or roommate. </w:t>
      </w:r>
    </w:p>
    <w:p w:rsidR="00D13213" w:rsidRDefault="00D13213" w:rsidP="00D13213">
      <w:pPr>
        <w:rPr>
          <w:rFonts w:ascii="Garamond" w:hAnsi="Garamond"/>
          <w:lang w:val="en-CA"/>
        </w:rPr>
      </w:pPr>
    </w:p>
    <w:p w:rsidR="004A0186" w:rsidRPr="00D13213" w:rsidRDefault="004A0186" w:rsidP="00D13213">
      <w:pPr>
        <w:rPr>
          <w:rFonts w:ascii="Garamond" w:hAnsi="Garamond"/>
          <w:lang w:val="en-CA"/>
        </w:rPr>
      </w:pPr>
      <w:r w:rsidRPr="00D13213">
        <w:rPr>
          <w:rFonts w:ascii="Garamond" w:hAnsi="Garamond"/>
        </w:rPr>
        <w:t>For</w:t>
      </w:r>
      <w:r w:rsidRPr="00D13213">
        <w:rPr>
          <w:rFonts w:ascii="Garamond" w:hAnsi="Garamond"/>
          <w:lang w:val="en-CA"/>
        </w:rPr>
        <w:t xml:space="preserve"> those workers who suffer an accident that results in an injury requiring a period of recovery and/or leaving </w:t>
      </w:r>
      <w:r w:rsidR="00461999" w:rsidRPr="00D13213">
        <w:rPr>
          <w:rFonts w:ascii="Garamond" w:hAnsi="Garamond"/>
          <w:lang w:val="en-CA"/>
        </w:rPr>
        <w:t xml:space="preserve">their job with </w:t>
      </w:r>
      <w:r w:rsidRPr="00D13213">
        <w:rPr>
          <w:rFonts w:ascii="Garamond" w:hAnsi="Garamond"/>
          <w:lang w:val="en-CA"/>
        </w:rPr>
        <w:t>a permanent disability, recollection of the event and especially recollection of the aftermath may be selective. A trusted confid</w:t>
      </w:r>
      <w:r w:rsidR="00461999" w:rsidRPr="00D13213">
        <w:rPr>
          <w:rFonts w:ascii="Garamond" w:hAnsi="Garamond"/>
          <w:lang w:val="en-CA"/>
        </w:rPr>
        <w:t>a</w:t>
      </w:r>
      <w:r w:rsidRPr="00D13213">
        <w:rPr>
          <w:rFonts w:ascii="Garamond" w:hAnsi="Garamond"/>
          <w:lang w:val="en-CA"/>
        </w:rPr>
        <w:t xml:space="preserve">nt can often temper the primary respondent’s recall of this event, and he/she will also often add detail that may be forgotten or add important nuance to the narrative. Dyads offer an excellent window into the nature of the accident and its aftermath; in this way, this technique will contextualize the full impact of the workplace injury. </w:t>
      </w:r>
    </w:p>
    <w:p w:rsidR="004A0186" w:rsidRPr="00D13213" w:rsidRDefault="004A0186" w:rsidP="004A0186">
      <w:pPr>
        <w:spacing w:after="240"/>
        <w:rPr>
          <w:rFonts w:ascii="Garamond" w:hAnsi="Garamond"/>
        </w:rPr>
      </w:pPr>
      <w:r w:rsidRPr="00D13213">
        <w:rPr>
          <w:rFonts w:ascii="Garamond" w:hAnsi="Garamond"/>
        </w:rPr>
        <w:t xml:space="preserve">We selected the dyads </w:t>
      </w:r>
      <w:r w:rsidR="006A412B" w:rsidRPr="00D13213">
        <w:rPr>
          <w:rFonts w:ascii="Garamond" w:hAnsi="Garamond"/>
        </w:rPr>
        <w:t xml:space="preserve">from a de-identified administrative sample provided by WCB </w:t>
      </w:r>
      <w:r w:rsidRPr="00D13213">
        <w:rPr>
          <w:rFonts w:ascii="Garamond" w:hAnsi="Garamond"/>
        </w:rPr>
        <w:t>on four different characteristics, with two groups within each characteristic, as follows:</w:t>
      </w:r>
    </w:p>
    <w:p w:rsidR="004A0186" w:rsidRPr="00CC617F" w:rsidRDefault="004A0186" w:rsidP="004A0186">
      <w:pPr>
        <w:numPr>
          <w:ilvl w:val="0"/>
          <w:numId w:val="2"/>
        </w:numPr>
        <w:rPr>
          <w:rFonts w:ascii="Garamond" w:eastAsiaTheme="minorHAnsi" w:hAnsi="Garamond"/>
        </w:rPr>
      </w:pPr>
      <w:r w:rsidRPr="00CC617F">
        <w:rPr>
          <w:rFonts w:ascii="Garamond" w:eastAsiaTheme="minorHAnsi" w:hAnsi="Garamond"/>
        </w:rPr>
        <w:t>gender (M/F)</w:t>
      </w:r>
    </w:p>
    <w:p w:rsidR="004A0186" w:rsidRPr="00CC617F" w:rsidRDefault="004A0186" w:rsidP="004A0186">
      <w:pPr>
        <w:numPr>
          <w:ilvl w:val="0"/>
          <w:numId w:val="2"/>
        </w:numPr>
        <w:rPr>
          <w:rFonts w:ascii="Garamond" w:eastAsiaTheme="minorHAnsi" w:hAnsi="Garamond"/>
        </w:rPr>
      </w:pPr>
      <w:r w:rsidRPr="00CC617F">
        <w:rPr>
          <w:rFonts w:ascii="Garamond" w:eastAsiaTheme="minorHAnsi" w:hAnsi="Garamond"/>
        </w:rPr>
        <w:t>age (18–34/35+)</w:t>
      </w:r>
    </w:p>
    <w:p w:rsidR="004A0186" w:rsidRPr="00CC617F" w:rsidRDefault="004A0186" w:rsidP="004A0186">
      <w:pPr>
        <w:numPr>
          <w:ilvl w:val="0"/>
          <w:numId w:val="2"/>
        </w:numPr>
        <w:ind w:right="270"/>
        <w:rPr>
          <w:rFonts w:ascii="Garamond" w:eastAsiaTheme="minorHAnsi" w:hAnsi="Garamond"/>
        </w:rPr>
      </w:pPr>
      <w:r w:rsidRPr="00CC617F">
        <w:rPr>
          <w:rFonts w:ascii="Garamond" w:eastAsiaTheme="minorHAnsi" w:hAnsi="Garamond"/>
        </w:rPr>
        <w:t>date the WCB Board was notified of the injury (earlier than July 1, 2011/July 1, 2011 or later)</w:t>
      </w:r>
    </w:p>
    <w:p w:rsidR="004A0186" w:rsidRPr="00CC617F" w:rsidRDefault="004A0186" w:rsidP="004A0186">
      <w:pPr>
        <w:numPr>
          <w:ilvl w:val="0"/>
          <w:numId w:val="2"/>
        </w:numPr>
        <w:spacing w:after="240"/>
        <w:ind w:left="714" w:hanging="357"/>
        <w:rPr>
          <w:rFonts w:ascii="Garamond" w:eastAsiaTheme="minorHAnsi" w:hAnsi="Garamond"/>
        </w:rPr>
      </w:pPr>
      <w:r w:rsidRPr="00CC617F">
        <w:rPr>
          <w:rFonts w:ascii="Garamond" w:eastAsiaTheme="minorHAnsi" w:hAnsi="Garamond"/>
        </w:rPr>
        <w:t>total c</w:t>
      </w:r>
      <w:r w:rsidR="00CC617F">
        <w:rPr>
          <w:rFonts w:ascii="Garamond" w:eastAsiaTheme="minorHAnsi" w:hAnsi="Garamond"/>
        </w:rPr>
        <w:t xml:space="preserve">ompensation paid by WCB </w:t>
      </w:r>
      <w:r w:rsidRPr="00CC617F">
        <w:rPr>
          <w:rFonts w:ascii="Garamond" w:eastAsiaTheme="minorHAnsi" w:hAnsi="Garamond"/>
        </w:rPr>
        <w:t>($10,000 to &lt; $50,000/$50,000 or greater)</w:t>
      </w:r>
    </w:p>
    <w:p w:rsidR="004A0186" w:rsidRPr="00CC617F" w:rsidRDefault="004A0186" w:rsidP="004A0186">
      <w:pPr>
        <w:spacing w:after="240"/>
        <w:rPr>
          <w:rFonts w:ascii="Garamond" w:hAnsi="Garamond"/>
        </w:rPr>
      </w:pPr>
      <w:r w:rsidRPr="00CC617F">
        <w:rPr>
          <w:rFonts w:ascii="Garamond" w:hAnsi="Garamond"/>
        </w:rPr>
        <w:t xml:space="preserve">This made for 2*2*2*2=16 groups. We tried to get at least one dyad from each group, with four remaining as doubles. This ensured we had a distribution of </w:t>
      </w:r>
      <w:r w:rsidR="006A412B" w:rsidRPr="00CC617F">
        <w:rPr>
          <w:rFonts w:ascii="Garamond" w:hAnsi="Garamond"/>
        </w:rPr>
        <w:t xml:space="preserve">workplace </w:t>
      </w:r>
      <w:r w:rsidRPr="00CC617F">
        <w:rPr>
          <w:rFonts w:ascii="Garamond" w:hAnsi="Garamond"/>
        </w:rPr>
        <w:t xml:space="preserve">incidents </w:t>
      </w:r>
      <w:r w:rsidR="00461999">
        <w:rPr>
          <w:rFonts w:ascii="Garamond" w:hAnsi="Garamond"/>
        </w:rPr>
        <w:t xml:space="preserve">in terms of </w:t>
      </w:r>
      <w:r w:rsidRPr="00CC617F">
        <w:rPr>
          <w:rFonts w:ascii="Garamond" w:hAnsi="Garamond"/>
        </w:rPr>
        <w:t>gender, age, time since injury, and total costs. It also excluded minor accidents where the total cost (medical, wage replacement, rehabilitation, and retraining) was less than $10,000.</w:t>
      </w:r>
    </w:p>
    <w:p w:rsidR="006A412B" w:rsidRPr="00CC617F" w:rsidRDefault="006A412B" w:rsidP="001E657F">
      <w:pPr>
        <w:spacing w:before="240" w:after="240"/>
        <w:rPr>
          <w:rFonts w:ascii="Garamond" w:hAnsi="Garamond"/>
        </w:rPr>
      </w:pPr>
      <w:r w:rsidRPr="00CC617F">
        <w:rPr>
          <w:rFonts w:ascii="Garamond" w:hAnsi="Garamond"/>
        </w:rPr>
        <w:t>The dyad</w:t>
      </w:r>
      <w:r w:rsidR="00461999">
        <w:rPr>
          <w:rFonts w:ascii="Garamond" w:hAnsi="Garamond"/>
        </w:rPr>
        <w:t>ic</w:t>
      </w:r>
      <w:r w:rsidRPr="00CC617F">
        <w:rPr>
          <w:rFonts w:ascii="Garamond" w:hAnsi="Garamond"/>
        </w:rPr>
        <w:t xml:space="preserve"> interviews demonstrate that the effects of workplace injury are widespread and permeate all aspects of life, most significantly physical and mental health and financial stability. Interviewees c</w:t>
      </w:r>
      <w:r w:rsidR="001E657F" w:rsidRPr="00CC617F">
        <w:rPr>
          <w:rFonts w:ascii="Garamond" w:hAnsi="Garamond"/>
        </w:rPr>
        <w:t>a</w:t>
      </w:r>
      <w:r w:rsidRPr="00CC617F">
        <w:rPr>
          <w:rFonts w:ascii="Garamond" w:hAnsi="Garamond"/>
        </w:rPr>
        <w:t>me from many different industries and suffered a variety of different types of injuries, including severed fingers, torn tendons, and other muscular issues. Many have undergone surgery to repair the damage and almost all have been treated by a physiotherapist. Whether they have returned to their previous positions, changed fields, or have not returned to work, all interviewees had their lives affected in small and large ways. In addition, they rel</w:t>
      </w:r>
      <w:r w:rsidR="001E657F" w:rsidRPr="00CC617F">
        <w:rPr>
          <w:rFonts w:ascii="Garamond" w:hAnsi="Garamond"/>
        </w:rPr>
        <w:t xml:space="preserve">ied and continue to rely </w:t>
      </w:r>
      <w:r w:rsidRPr="00CC617F">
        <w:rPr>
          <w:rFonts w:ascii="Garamond" w:hAnsi="Garamond"/>
        </w:rPr>
        <w:t xml:space="preserve">on a support system — </w:t>
      </w:r>
      <w:r w:rsidRPr="00CC617F">
        <w:rPr>
          <w:rFonts w:ascii="Garamond" w:hAnsi="Garamond"/>
        </w:rPr>
        <w:lastRenderedPageBreak/>
        <w:t>friends and family members — to provide physical, emotional, and financial support during their recovery.</w:t>
      </w:r>
    </w:p>
    <w:p w:rsidR="006A412B" w:rsidRPr="00CC617F" w:rsidRDefault="006A412B" w:rsidP="006A412B">
      <w:pPr>
        <w:spacing w:after="240"/>
        <w:ind w:right="-180"/>
        <w:rPr>
          <w:rFonts w:ascii="Garamond" w:hAnsi="Garamond"/>
        </w:rPr>
      </w:pPr>
      <w:r w:rsidRPr="00CC617F">
        <w:rPr>
          <w:rFonts w:ascii="Garamond" w:hAnsi="Garamond"/>
        </w:rPr>
        <w:t xml:space="preserve">Since the majority of interviewees suffered from a physical injury, </w:t>
      </w:r>
      <w:r w:rsidR="00CC617F">
        <w:rPr>
          <w:rFonts w:ascii="Garamond" w:hAnsi="Garamond"/>
        </w:rPr>
        <w:t>clear effects</w:t>
      </w:r>
      <w:r w:rsidRPr="00CC617F">
        <w:rPr>
          <w:rFonts w:ascii="Garamond" w:hAnsi="Garamond"/>
        </w:rPr>
        <w:t xml:space="preserve"> </w:t>
      </w:r>
      <w:r w:rsidR="00CC617F" w:rsidRPr="00CC617F">
        <w:rPr>
          <w:rFonts w:ascii="Garamond" w:hAnsi="Garamond"/>
        </w:rPr>
        <w:t xml:space="preserve">on mobility and ability to complete physical tasks at home and at work </w:t>
      </w:r>
      <w:r w:rsidR="00CC617F">
        <w:rPr>
          <w:rFonts w:ascii="Garamond" w:hAnsi="Garamond"/>
        </w:rPr>
        <w:t xml:space="preserve">have </w:t>
      </w:r>
      <w:r w:rsidR="007640E5">
        <w:rPr>
          <w:rFonts w:ascii="Garamond" w:hAnsi="Garamond"/>
        </w:rPr>
        <w:t>occurred</w:t>
      </w:r>
      <w:r w:rsidRPr="00CC617F">
        <w:rPr>
          <w:rFonts w:ascii="Garamond" w:hAnsi="Garamond"/>
        </w:rPr>
        <w:t>. However, many report that the emotional toll of their accident is equally, if not more, damaging to their overall wellbeing, and in some cases, their ability to return to work. Interviewees report symptoms including anxiety, irritability, and depression, most often associated with feeling isolated by reduced mobility and stress caused by career and financial uncertainty. Almost all interviewees reported at least a moderate impact on their mental health for some period of time associated with their injury, but only some pursued mental health treatment options, such as counselling and medication, while many indicated that they have turned to their support system — spouse, family member, or friend — for emotional support.</w:t>
      </w:r>
    </w:p>
    <w:p w:rsidR="001E657F" w:rsidRPr="00CC617F" w:rsidRDefault="006A412B" w:rsidP="006A412B">
      <w:pPr>
        <w:spacing w:after="240"/>
        <w:rPr>
          <w:rFonts w:ascii="Garamond" w:hAnsi="Garamond"/>
        </w:rPr>
      </w:pPr>
      <w:r w:rsidRPr="00CC617F">
        <w:rPr>
          <w:rFonts w:ascii="Garamond" w:hAnsi="Garamond"/>
        </w:rPr>
        <w:t>Beyond the short-term concerns related to income, interviewees describe negative impacts to their career progression, which affect their financial stability. For interviewees who describe themselves as being at the beginning or middle of their careers, workplace injuries and the subsequent removal from the workforce (even if temporary) lead to incomplete or delayed training goals</w:t>
      </w:r>
      <w:r w:rsidR="00461999">
        <w:rPr>
          <w:rFonts w:ascii="Garamond" w:hAnsi="Garamond"/>
        </w:rPr>
        <w:t xml:space="preserve"> and</w:t>
      </w:r>
      <w:r w:rsidRPr="00CC617F">
        <w:rPr>
          <w:rFonts w:ascii="Garamond" w:hAnsi="Garamond"/>
        </w:rPr>
        <w:t xml:space="preserve"> missed opportunities for promotions</w:t>
      </w:r>
      <w:r w:rsidR="00461999">
        <w:rPr>
          <w:rFonts w:ascii="Garamond" w:hAnsi="Garamond"/>
        </w:rPr>
        <w:t>.</w:t>
      </w:r>
      <w:r w:rsidRPr="00CC617F">
        <w:rPr>
          <w:rFonts w:ascii="Garamond" w:hAnsi="Garamond"/>
        </w:rPr>
        <w:t xml:space="preserve"> </w:t>
      </w:r>
      <w:r w:rsidR="00461999">
        <w:rPr>
          <w:rFonts w:ascii="Garamond" w:hAnsi="Garamond"/>
        </w:rPr>
        <w:t>I</w:t>
      </w:r>
      <w:r w:rsidRPr="00CC617F">
        <w:rPr>
          <w:rFonts w:ascii="Garamond" w:hAnsi="Garamond"/>
        </w:rPr>
        <w:t xml:space="preserve">n some cases, they must leave the field of their choice and retrain in an alternate career. Several interviewees cite examples of retraining funded by WCB in fields that respondents see as less desirable and/or perceive to be less profitable, setting the interviewee on a path of career dissatisfaction and lower earning potential. For those towards the end of their career, a workplace injury can truncate their inability to work, affecting retirement plans. </w:t>
      </w:r>
    </w:p>
    <w:p w:rsidR="001E657F" w:rsidRPr="00CC617F" w:rsidRDefault="006A412B" w:rsidP="006A412B">
      <w:pPr>
        <w:spacing w:after="240"/>
        <w:rPr>
          <w:rFonts w:ascii="Garamond" w:hAnsi="Garamond"/>
        </w:rPr>
      </w:pPr>
      <w:r w:rsidRPr="00CC617F">
        <w:rPr>
          <w:rFonts w:ascii="Garamond" w:hAnsi="Garamond"/>
        </w:rPr>
        <w:t>In addition to the physical, emotional, and financial impacts described by individuals who were injured at work, the dyad</w:t>
      </w:r>
      <w:r w:rsidR="00461999">
        <w:rPr>
          <w:rFonts w:ascii="Garamond" w:hAnsi="Garamond"/>
        </w:rPr>
        <w:t>ic</w:t>
      </w:r>
      <w:r w:rsidRPr="00CC617F">
        <w:rPr>
          <w:rFonts w:ascii="Garamond" w:hAnsi="Garamond"/>
        </w:rPr>
        <w:t xml:space="preserve"> interviews reveal the impact of workplace accidents on the </w:t>
      </w:r>
      <w:r w:rsidR="00461999">
        <w:rPr>
          <w:rFonts w:ascii="Garamond" w:hAnsi="Garamond"/>
        </w:rPr>
        <w:t>injured worker</w:t>
      </w:r>
      <w:r w:rsidRPr="00CC617F">
        <w:rPr>
          <w:rFonts w:ascii="Garamond" w:hAnsi="Garamond"/>
        </w:rPr>
        <w:t xml:space="preserve">s’ support system (friends and family) and the role of the support system in the recovery process. The majority of the secondary respondents in the interviews are spouses or romantic partners, while others who participated include parents and friends/roommates. Almost all secondary respondents are described as taking on a caretaking role for at least some period of time following the interviewee’s accident, and if they did not provide the care, someone else within the support system did. </w:t>
      </w:r>
    </w:p>
    <w:p w:rsidR="006A412B" w:rsidRPr="007640E5" w:rsidRDefault="006A412B" w:rsidP="006A412B">
      <w:pPr>
        <w:spacing w:after="240"/>
        <w:rPr>
          <w:rFonts w:ascii="Garamond" w:hAnsi="Garamond"/>
        </w:rPr>
      </w:pPr>
      <w:r w:rsidRPr="007640E5">
        <w:rPr>
          <w:rFonts w:ascii="Garamond" w:hAnsi="Garamond"/>
        </w:rPr>
        <w:t>The support system</w:t>
      </w:r>
      <w:r w:rsidR="007640E5" w:rsidRPr="007640E5">
        <w:rPr>
          <w:rFonts w:ascii="Garamond" w:hAnsi="Garamond"/>
        </w:rPr>
        <w:t xml:space="preserve"> required for recovery of </w:t>
      </w:r>
      <w:r w:rsidRPr="007640E5">
        <w:rPr>
          <w:rFonts w:ascii="Garamond" w:hAnsi="Garamond"/>
        </w:rPr>
        <w:t xml:space="preserve">the injured interviewee, </w:t>
      </w:r>
      <w:r w:rsidR="007640E5" w:rsidRPr="007640E5">
        <w:rPr>
          <w:rFonts w:ascii="Garamond" w:hAnsi="Garamond"/>
        </w:rPr>
        <w:t xml:space="preserve">as well as demands on </w:t>
      </w:r>
      <w:r w:rsidRPr="007640E5">
        <w:rPr>
          <w:rFonts w:ascii="Garamond" w:hAnsi="Garamond"/>
        </w:rPr>
        <w:t xml:space="preserve">secondary respondent, affects finances. In some cases, secondary respondents reported they have taken time off work or reduced their own workload to provide care and maintain the household. Secondary respondents who are a spouse or romantic partner are the most impacted financially by workplace injuries, since they feel the effects of reduced household income. Secondary respondents who share </w:t>
      </w:r>
      <w:r w:rsidR="00DE7CCE">
        <w:rPr>
          <w:rFonts w:ascii="Garamond" w:hAnsi="Garamond"/>
        </w:rPr>
        <w:t>the</w:t>
      </w:r>
      <w:r w:rsidRPr="007640E5">
        <w:rPr>
          <w:rFonts w:ascii="Garamond" w:hAnsi="Garamond"/>
        </w:rPr>
        <w:t xml:space="preserve"> household often report changing jobs to earn more money/be more </w:t>
      </w:r>
      <w:r w:rsidR="00DE7CCE">
        <w:rPr>
          <w:rFonts w:ascii="Garamond" w:hAnsi="Garamond"/>
        </w:rPr>
        <w:t>“</w:t>
      </w:r>
      <w:r w:rsidRPr="007640E5">
        <w:rPr>
          <w:rFonts w:ascii="Garamond" w:hAnsi="Garamond"/>
        </w:rPr>
        <w:t>stable,</w:t>
      </w:r>
      <w:r w:rsidR="00DE7CCE">
        <w:rPr>
          <w:rFonts w:ascii="Garamond" w:hAnsi="Garamond"/>
        </w:rPr>
        <w:t>”</w:t>
      </w:r>
      <w:r w:rsidRPr="007640E5">
        <w:rPr>
          <w:rFonts w:ascii="Garamond" w:hAnsi="Garamond"/>
        </w:rPr>
        <w:t xml:space="preserve"> reducing </w:t>
      </w:r>
      <w:r w:rsidR="00DE7CCE">
        <w:rPr>
          <w:rFonts w:ascii="Garamond" w:hAnsi="Garamond"/>
        </w:rPr>
        <w:t xml:space="preserve">their </w:t>
      </w:r>
      <w:r w:rsidRPr="007640E5">
        <w:rPr>
          <w:rFonts w:ascii="Garamond" w:hAnsi="Garamond"/>
        </w:rPr>
        <w:t>spending on socializing and leisure activities, delaying vacations and other goals, and struggling to pay bills and for necessities. In turn, this is a cause for stress and can impact the mental health of secondary respondents.</w:t>
      </w:r>
      <w:r w:rsidR="00DE7CCE">
        <w:rPr>
          <w:rFonts w:ascii="Garamond" w:hAnsi="Garamond"/>
        </w:rPr>
        <w:t xml:space="preserve"> Romantic partners often reported that their relationship suffered due to the stress of dealing with the injury and recovery period.</w:t>
      </w:r>
    </w:p>
    <w:p w:rsidR="001E657F" w:rsidRPr="007640E5" w:rsidRDefault="001E657F" w:rsidP="006A412B">
      <w:pPr>
        <w:spacing w:after="240"/>
        <w:rPr>
          <w:rFonts w:ascii="Garamond" w:hAnsi="Garamond"/>
        </w:rPr>
      </w:pPr>
      <w:r w:rsidRPr="007640E5">
        <w:rPr>
          <w:rFonts w:ascii="Garamond" w:hAnsi="Garamond"/>
        </w:rPr>
        <w:t xml:space="preserve">The key themes emerging from the dyads informed the questionnaire content for workers involved in the accident (termed the primary respondent </w:t>
      </w:r>
      <w:r w:rsidR="00FC02EE" w:rsidRPr="007640E5">
        <w:rPr>
          <w:rFonts w:ascii="Garamond" w:hAnsi="Garamond"/>
        </w:rPr>
        <w:t xml:space="preserve">- </w:t>
      </w:r>
      <w:r w:rsidRPr="007640E5">
        <w:rPr>
          <w:rFonts w:ascii="Garamond" w:hAnsi="Garamond"/>
        </w:rPr>
        <w:t>PR)</w:t>
      </w:r>
      <w:r w:rsidR="00DE7CCE">
        <w:rPr>
          <w:rFonts w:ascii="Garamond" w:hAnsi="Garamond"/>
        </w:rPr>
        <w:t>,</w:t>
      </w:r>
      <w:r w:rsidRPr="007640E5">
        <w:rPr>
          <w:rFonts w:ascii="Garamond" w:hAnsi="Garamond"/>
        </w:rPr>
        <w:t xml:space="preserve"> specifically</w:t>
      </w:r>
      <w:r w:rsidR="00DE7CCE">
        <w:rPr>
          <w:rFonts w:ascii="Garamond" w:hAnsi="Garamond"/>
        </w:rPr>
        <w:t xml:space="preserve"> regarding</w:t>
      </w:r>
      <w:r w:rsidRPr="007640E5">
        <w:rPr>
          <w:rFonts w:ascii="Garamond" w:hAnsi="Garamond"/>
        </w:rPr>
        <w:t xml:space="preserve"> loss of earnings, career interruption, </w:t>
      </w:r>
      <w:r w:rsidR="00FC02EE" w:rsidRPr="007640E5">
        <w:rPr>
          <w:rFonts w:ascii="Garamond" w:hAnsi="Garamond"/>
        </w:rPr>
        <w:t>loss of physical abilities during recovery and permanent</w:t>
      </w:r>
      <w:r w:rsidR="00DE7CCE">
        <w:rPr>
          <w:rFonts w:ascii="Garamond" w:hAnsi="Garamond"/>
        </w:rPr>
        <w:t xml:space="preserve"> disabilities</w:t>
      </w:r>
      <w:r w:rsidR="00FC02EE" w:rsidRPr="007640E5">
        <w:rPr>
          <w:rFonts w:ascii="Garamond" w:hAnsi="Garamond"/>
        </w:rPr>
        <w:t xml:space="preserve">, etc.  Those caring for the injured worker (termed the secondary respondents – SR) in effect held a mirror to the </w:t>
      </w:r>
      <w:r w:rsidR="00FC02EE" w:rsidRPr="007640E5">
        <w:rPr>
          <w:rFonts w:ascii="Garamond" w:hAnsi="Garamond"/>
        </w:rPr>
        <w:lastRenderedPageBreak/>
        <w:t xml:space="preserve">injured worker, and offered an “independent” perspective </w:t>
      </w:r>
      <w:r w:rsidR="00DD7BD5" w:rsidRPr="007640E5">
        <w:rPr>
          <w:rFonts w:ascii="Garamond" w:hAnsi="Garamond"/>
        </w:rPr>
        <w:t xml:space="preserve">on the accident, the injury and its aftermath. </w:t>
      </w:r>
    </w:p>
    <w:p w:rsidR="0082374E" w:rsidRPr="003571BC" w:rsidRDefault="003571BC" w:rsidP="004A0186">
      <w:pPr>
        <w:spacing w:after="240"/>
        <w:rPr>
          <w:rFonts w:ascii="Garamond" w:hAnsi="Garamond"/>
          <w:b/>
          <w:sz w:val="32"/>
          <w:szCs w:val="28"/>
        </w:rPr>
      </w:pPr>
      <w:r w:rsidRPr="003571BC">
        <w:rPr>
          <w:rFonts w:ascii="Garamond" w:hAnsi="Garamond"/>
          <w:b/>
          <w:sz w:val="32"/>
          <w:szCs w:val="28"/>
        </w:rPr>
        <w:t xml:space="preserve">Data collection </w:t>
      </w:r>
    </w:p>
    <w:p w:rsidR="00981C62" w:rsidRPr="007640E5" w:rsidRDefault="003571BC" w:rsidP="003571BC">
      <w:pPr>
        <w:autoSpaceDE w:val="0"/>
        <w:autoSpaceDN w:val="0"/>
        <w:adjustRightInd w:val="0"/>
        <w:spacing w:after="240"/>
        <w:rPr>
          <w:rFonts w:ascii="Garamond" w:eastAsiaTheme="minorHAnsi" w:hAnsi="Garamond"/>
          <w:color w:val="000000"/>
          <w:lang w:val="en-CA"/>
        </w:rPr>
      </w:pPr>
      <w:r w:rsidRPr="007640E5">
        <w:rPr>
          <w:rFonts w:ascii="Garamond" w:eastAsiaTheme="minorHAnsi" w:hAnsi="Garamond"/>
          <w:color w:val="000000"/>
          <w:lang w:val="en-CA"/>
        </w:rPr>
        <w:t>This study recruited primary and secondary respondents (</w:t>
      </w:r>
      <w:r w:rsidR="00DE7CCE">
        <w:rPr>
          <w:rFonts w:ascii="Garamond" w:eastAsiaTheme="minorHAnsi" w:hAnsi="Garamond"/>
          <w:color w:val="000000"/>
          <w:lang w:val="en-CA"/>
        </w:rPr>
        <w:t>an individual living in the same household and identified</w:t>
      </w:r>
      <w:r w:rsidRPr="007640E5">
        <w:rPr>
          <w:rFonts w:ascii="Garamond" w:eastAsiaTheme="minorHAnsi" w:hAnsi="Garamond"/>
          <w:color w:val="000000"/>
          <w:lang w:val="en-CA"/>
        </w:rPr>
        <w:t xml:space="preserve"> by the primary respondent) to participate in a telephone questionnaire. The </w:t>
      </w:r>
      <w:r w:rsidR="002615CA" w:rsidRPr="007640E5">
        <w:rPr>
          <w:rFonts w:ascii="Garamond" w:eastAsiaTheme="minorHAnsi" w:hAnsi="Garamond"/>
          <w:color w:val="000000"/>
          <w:lang w:val="en-CA"/>
        </w:rPr>
        <w:t>sample frame drew from a de-identified</w:t>
      </w:r>
      <w:r w:rsidRPr="007640E5">
        <w:rPr>
          <w:rFonts w:ascii="Garamond" w:eastAsiaTheme="minorHAnsi" w:hAnsi="Garamond"/>
          <w:color w:val="000000"/>
          <w:lang w:val="en-CA"/>
        </w:rPr>
        <w:t xml:space="preserve"> administrative database supplied by </w:t>
      </w:r>
      <w:r w:rsidR="00DE7CCE">
        <w:rPr>
          <w:rFonts w:ascii="Garamond" w:eastAsiaTheme="minorHAnsi" w:hAnsi="Garamond"/>
          <w:color w:val="000000"/>
          <w:lang w:val="en-CA"/>
        </w:rPr>
        <w:t xml:space="preserve">the </w:t>
      </w:r>
      <w:r w:rsidRPr="007640E5">
        <w:rPr>
          <w:rFonts w:ascii="Garamond" w:eastAsiaTheme="minorHAnsi" w:hAnsi="Garamond"/>
          <w:color w:val="000000"/>
          <w:lang w:val="en-CA"/>
        </w:rPr>
        <w:t xml:space="preserve">WCB. Sampling and interviewing proceeded in waves; with each sample </w:t>
      </w:r>
      <w:r w:rsidR="002615CA" w:rsidRPr="007640E5">
        <w:rPr>
          <w:rFonts w:ascii="Garamond" w:eastAsiaTheme="minorHAnsi" w:hAnsi="Garamond"/>
          <w:color w:val="000000"/>
          <w:lang w:val="en-CA"/>
        </w:rPr>
        <w:t xml:space="preserve">selected, </w:t>
      </w:r>
      <w:r w:rsidR="00DE7CCE">
        <w:rPr>
          <w:rFonts w:ascii="Garamond" w:eastAsiaTheme="minorHAnsi" w:hAnsi="Garamond"/>
          <w:color w:val="000000"/>
          <w:lang w:val="en-CA"/>
        </w:rPr>
        <w:t xml:space="preserve">the </w:t>
      </w:r>
      <w:r w:rsidR="002615CA" w:rsidRPr="007640E5">
        <w:rPr>
          <w:rFonts w:ascii="Garamond" w:eastAsiaTheme="minorHAnsi" w:hAnsi="Garamond"/>
          <w:color w:val="000000"/>
          <w:lang w:val="en-CA"/>
        </w:rPr>
        <w:t xml:space="preserve">WCB supplied names, addresses, </w:t>
      </w:r>
      <w:r w:rsidR="00DE7CCE">
        <w:rPr>
          <w:rFonts w:ascii="Garamond" w:eastAsiaTheme="minorHAnsi" w:hAnsi="Garamond"/>
          <w:color w:val="000000"/>
          <w:lang w:val="en-CA"/>
        </w:rPr>
        <w:t xml:space="preserve">and </w:t>
      </w:r>
      <w:r w:rsidR="002615CA" w:rsidRPr="007640E5">
        <w:rPr>
          <w:rFonts w:ascii="Garamond" w:eastAsiaTheme="minorHAnsi" w:hAnsi="Garamond"/>
          <w:color w:val="000000"/>
          <w:lang w:val="en-CA"/>
        </w:rPr>
        <w:t>telephone numbers of workers that had received compensation</w:t>
      </w:r>
      <w:r w:rsidR="00981C62" w:rsidRPr="007640E5">
        <w:rPr>
          <w:rFonts w:ascii="Garamond" w:eastAsiaTheme="minorHAnsi" w:hAnsi="Garamond"/>
          <w:color w:val="000000"/>
          <w:lang w:val="en-CA"/>
        </w:rPr>
        <w:t xml:space="preserve"> for an injury. Scrambled </w:t>
      </w:r>
      <w:r w:rsidR="00DE7CCE">
        <w:rPr>
          <w:rFonts w:ascii="Garamond" w:eastAsiaTheme="minorHAnsi" w:hAnsi="Garamond"/>
          <w:color w:val="000000"/>
          <w:lang w:val="en-CA"/>
        </w:rPr>
        <w:t>ID</w:t>
      </w:r>
      <w:r w:rsidR="00981C62" w:rsidRPr="007640E5">
        <w:rPr>
          <w:rFonts w:ascii="Garamond" w:eastAsiaTheme="minorHAnsi" w:hAnsi="Garamond"/>
          <w:color w:val="000000"/>
          <w:lang w:val="en-CA"/>
        </w:rPr>
        <w:t xml:space="preserve"> numbers ensured that the research team never receive</w:t>
      </w:r>
      <w:r w:rsidR="00DE7CCE">
        <w:rPr>
          <w:rFonts w:ascii="Garamond" w:eastAsiaTheme="minorHAnsi" w:hAnsi="Garamond"/>
          <w:color w:val="000000"/>
          <w:lang w:val="en-CA"/>
        </w:rPr>
        <w:t>d</w:t>
      </w:r>
      <w:r w:rsidR="00981C62" w:rsidRPr="007640E5">
        <w:rPr>
          <w:rFonts w:ascii="Garamond" w:eastAsiaTheme="minorHAnsi" w:hAnsi="Garamond"/>
          <w:color w:val="000000"/>
          <w:lang w:val="en-CA"/>
        </w:rPr>
        <w:t xml:space="preserve"> personal information</w:t>
      </w:r>
      <w:r w:rsidR="00DE7CCE">
        <w:rPr>
          <w:rFonts w:ascii="Garamond" w:eastAsiaTheme="minorHAnsi" w:hAnsi="Garamond"/>
          <w:color w:val="000000"/>
          <w:lang w:val="en-CA"/>
        </w:rPr>
        <w:t xml:space="preserve"> about the respondents beyond what was required for the survey.</w:t>
      </w:r>
      <w:r w:rsidR="00981C62" w:rsidRPr="007640E5">
        <w:rPr>
          <w:rFonts w:ascii="Garamond" w:eastAsiaTheme="minorHAnsi" w:hAnsi="Garamond"/>
          <w:color w:val="000000"/>
          <w:lang w:val="en-CA"/>
        </w:rPr>
        <w:t xml:space="preserve"> </w:t>
      </w:r>
    </w:p>
    <w:p w:rsidR="009512EC" w:rsidRPr="007640E5" w:rsidRDefault="007640E5" w:rsidP="007640E5">
      <w:pPr>
        <w:tabs>
          <w:tab w:val="left" w:pos="1276"/>
        </w:tabs>
        <w:autoSpaceDE w:val="0"/>
        <w:autoSpaceDN w:val="0"/>
        <w:adjustRightInd w:val="0"/>
        <w:spacing w:after="240"/>
        <w:rPr>
          <w:rFonts w:ascii="Garamond" w:eastAsiaTheme="minorHAnsi" w:hAnsi="Garamond"/>
          <w:color w:val="000000"/>
          <w:lang w:val="en-CA"/>
        </w:rPr>
      </w:pPr>
      <w:r>
        <w:rPr>
          <w:rFonts w:ascii="Garamond" w:eastAsiaTheme="minorHAnsi" w:hAnsi="Garamond"/>
          <w:color w:val="000000"/>
          <w:lang w:val="en-CA"/>
        </w:rPr>
        <w:t xml:space="preserve">Sampled </w:t>
      </w:r>
      <w:r w:rsidR="00981C62" w:rsidRPr="007640E5">
        <w:rPr>
          <w:rFonts w:ascii="Garamond" w:eastAsiaTheme="minorHAnsi" w:hAnsi="Garamond"/>
          <w:color w:val="000000"/>
          <w:lang w:val="en-CA"/>
        </w:rPr>
        <w:t xml:space="preserve">primary respondents received a letter explaining </w:t>
      </w:r>
      <w:r w:rsidR="009512EC" w:rsidRPr="007640E5">
        <w:rPr>
          <w:rFonts w:ascii="Garamond" w:eastAsiaTheme="minorHAnsi" w:hAnsi="Garamond"/>
          <w:color w:val="000000"/>
          <w:lang w:val="en-CA"/>
        </w:rPr>
        <w:t>the</w:t>
      </w:r>
      <w:r w:rsidR="00981C62" w:rsidRPr="007640E5">
        <w:rPr>
          <w:rFonts w:ascii="Garamond" w:eastAsiaTheme="minorHAnsi" w:hAnsi="Garamond"/>
          <w:color w:val="000000"/>
          <w:lang w:val="en-CA"/>
        </w:rPr>
        <w:t xml:space="preserve"> </w:t>
      </w:r>
      <w:r>
        <w:rPr>
          <w:rFonts w:ascii="Garamond" w:eastAsiaTheme="minorHAnsi" w:hAnsi="Garamond"/>
          <w:color w:val="000000"/>
          <w:lang w:val="en-CA"/>
        </w:rPr>
        <w:t xml:space="preserve">research, </w:t>
      </w:r>
      <w:r w:rsidR="00DE7CCE">
        <w:rPr>
          <w:rFonts w:ascii="Garamond" w:eastAsiaTheme="minorHAnsi" w:hAnsi="Garamond"/>
          <w:color w:val="000000"/>
          <w:lang w:val="en-CA"/>
        </w:rPr>
        <w:t>and</w:t>
      </w:r>
      <w:r>
        <w:rPr>
          <w:rFonts w:ascii="Garamond" w:eastAsiaTheme="minorHAnsi" w:hAnsi="Garamond"/>
          <w:color w:val="000000"/>
          <w:lang w:val="en-CA"/>
        </w:rPr>
        <w:t xml:space="preserve"> </w:t>
      </w:r>
      <w:r w:rsidR="009512EC" w:rsidRPr="007640E5">
        <w:rPr>
          <w:rFonts w:ascii="Garamond" w:eastAsiaTheme="minorHAnsi" w:hAnsi="Garamond"/>
          <w:color w:val="000000"/>
          <w:lang w:val="en-CA"/>
        </w:rPr>
        <w:t>that</w:t>
      </w:r>
      <w:r w:rsidR="00981C62" w:rsidRPr="007640E5">
        <w:rPr>
          <w:rFonts w:ascii="Garamond" w:eastAsiaTheme="minorHAnsi" w:hAnsi="Garamond"/>
          <w:color w:val="000000"/>
          <w:lang w:val="en-CA"/>
        </w:rPr>
        <w:t xml:space="preserve"> no obligation existed to participate</w:t>
      </w:r>
      <w:r w:rsidR="00DE7CCE">
        <w:rPr>
          <w:rFonts w:ascii="Garamond" w:eastAsiaTheme="minorHAnsi" w:hAnsi="Garamond"/>
          <w:color w:val="000000"/>
          <w:lang w:val="en-CA"/>
        </w:rPr>
        <w:t>. The letter also provided</w:t>
      </w:r>
      <w:r w:rsidR="00981C62" w:rsidRPr="007640E5">
        <w:rPr>
          <w:rFonts w:ascii="Garamond" w:eastAsiaTheme="minorHAnsi" w:hAnsi="Garamond"/>
          <w:color w:val="000000"/>
          <w:lang w:val="en-CA"/>
        </w:rPr>
        <w:t xml:space="preserve"> follow-up contact information i</w:t>
      </w:r>
      <w:r w:rsidR="009512EC" w:rsidRPr="007640E5">
        <w:rPr>
          <w:rFonts w:ascii="Garamond" w:eastAsiaTheme="minorHAnsi" w:hAnsi="Garamond"/>
          <w:color w:val="000000"/>
          <w:lang w:val="en-CA"/>
        </w:rPr>
        <w:t>f</w:t>
      </w:r>
      <w:r w:rsidR="00981C62" w:rsidRPr="007640E5">
        <w:rPr>
          <w:rFonts w:ascii="Garamond" w:eastAsiaTheme="minorHAnsi" w:hAnsi="Garamond"/>
          <w:color w:val="000000"/>
          <w:lang w:val="en-CA"/>
        </w:rPr>
        <w:t xml:space="preserve"> </w:t>
      </w:r>
      <w:r w:rsidR="009512EC" w:rsidRPr="007640E5">
        <w:rPr>
          <w:rFonts w:ascii="Garamond" w:eastAsiaTheme="minorHAnsi" w:hAnsi="Garamond"/>
          <w:color w:val="000000"/>
          <w:lang w:val="en-CA"/>
        </w:rPr>
        <w:t>the</w:t>
      </w:r>
      <w:r w:rsidR="00DE7CCE">
        <w:rPr>
          <w:rFonts w:ascii="Garamond" w:eastAsiaTheme="minorHAnsi" w:hAnsi="Garamond"/>
          <w:color w:val="000000"/>
          <w:lang w:val="en-CA"/>
        </w:rPr>
        <w:t xml:space="preserve"> respondent</w:t>
      </w:r>
      <w:r w:rsidR="009512EC" w:rsidRPr="007640E5">
        <w:rPr>
          <w:rFonts w:ascii="Garamond" w:eastAsiaTheme="minorHAnsi" w:hAnsi="Garamond"/>
          <w:color w:val="000000"/>
          <w:lang w:val="en-CA"/>
        </w:rPr>
        <w:t xml:space="preserve"> desired </w:t>
      </w:r>
      <w:r w:rsidR="00981C62" w:rsidRPr="007640E5">
        <w:rPr>
          <w:rFonts w:ascii="Garamond" w:eastAsiaTheme="minorHAnsi" w:hAnsi="Garamond"/>
          <w:color w:val="000000"/>
          <w:lang w:val="en-CA"/>
        </w:rPr>
        <w:t>more information.</w:t>
      </w:r>
      <w:r w:rsidR="009512EC" w:rsidRPr="007640E5">
        <w:rPr>
          <w:rFonts w:ascii="Garamond" w:eastAsiaTheme="minorHAnsi" w:hAnsi="Garamond"/>
          <w:color w:val="000000"/>
          <w:lang w:val="en-CA"/>
        </w:rPr>
        <w:t xml:space="preserve"> </w:t>
      </w:r>
      <w:r w:rsidR="00981C62" w:rsidRPr="007640E5">
        <w:rPr>
          <w:rFonts w:ascii="Garamond" w:eastAsiaTheme="minorHAnsi" w:hAnsi="Garamond"/>
          <w:color w:val="000000"/>
          <w:lang w:val="en-CA"/>
        </w:rPr>
        <w:t>As explained in the next section, secondary respondents were recruited at the end of the primary respondent inter</w:t>
      </w:r>
      <w:r w:rsidR="00DE7CCE">
        <w:rPr>
          <w:rFonts w:ascii="Garamond" w:eastAsiaTheme="minorHAnsi" w:hAnsi="Garamond"/>
          <w:color w:val="000000"/>
          <w:lang w:val="en-CA"/>
        </w:rPr>
        <w:t>view</w:t>
      </w:r>
      <w:r w:rsidR="009512EC" w:rsidRPr="007640E5">
        <w:rPr>
          <w:rFonts w:ascii="Garamond" w:eastAsiaTheme="minorHAnsi" w:hAnsi="Garamond"/>
          <w:color w:val="000000"/>
          <w:lang w:val="en-CA"/>
        </w:rPr>
        <w:t xml:space="preserve"> and were interviewed immediately or in a follow-up call.</w:t>
      </w:r>
      <w:r w:rsidRPr="007640E5">
        <w:rPr>
          <w:rFonts w:ascii="Garamond" w:eastAsiaTheme="minorHAnsi" w:hAnsi="Garamond"/>
          <w:color w:val="000000"/>
          <w:lang w:val="en-CA"/>
        </w:rPr>
        <w:t xml:space="preserve"> </w:t>
      </w:r>
      <w:r w:rsidRPr="007640E5">
        <w:rPr>
          <w:rFonts w:ascii="Garamond" w:eastAsiaTheme="minorHAnsi" w:hAnsi="Garamond"/>
          <w:color w:val="000000"/>
          <w:lang w:val="en-CA"/>
        </w:rPr>
        <w:fldChar w:fldCharType="begin"/>
      </w:r>
      <w:r w:rsidRPr="007640E5">
        <w:rPr>
          <w:rFonts w:ascii="Garamond" w:eastAsiaTheme="minorHAnsi" w:hAnsi="Garamond"/>
          <w:color w:val="000000"/>
          <w:lang w:val="en-CA"/>
        </w:rPr>
        <w:instrText xml:space="preserve"> REF _Ref420591184 \h  \* MERGEFORMAT </w:instrText>
      </w:r>
      <w:r w:rsidRPr="007640E5">
        <w:rPr>
          <w:rFonts w:ascii="Garamond" w:eastAsiaTheme="minorHAnsi" w:hAnsi="Garamond"/>
          <w:color w:val="000000"/>
          <w:lang w:val="en-CA"/>
        </w:rPr>
      </w:r>
      <w:r w:rsidRPr="007640E5">
        <w:rPr>
          <w:rFonts w:ascii="Garamond" w:eastAsiaTheme="minorHAnsi" w:hAnsi="Garamond"/>
          <w:color w:val="000000"/>
          <w:lang w:val="en-CA"/>
        </w:rPr>
        <w:fldChar w:fldCharType="separate"/>
      </w:r>
      <w:r w:rsidR="00AF72C2" w:rsidRPr="00AF72C2">
        <w:rPr>
          <w:rFonts w:ascii="Garamond" w:eastAsiaTheme="minorHAnsi" w:hAnsi="Garamond" w:cs="Arial"/>
          <w:bCs/>
          <w:lang w:val="en-CA"/>
        </w:rPr>
        <w:t xml:space="preserve">Table </w:t>
      </w:r>
      <w:r w:rsidR="00AF72C2" w:rsidRPr="00AF72C2">
        <w:rPr>
          <w:rFonts w:ascii="Garamond" w:eastAsiaTheme="minorHAnsi" w:hAnsi="Garamond" w:cs="Arial"/>
          <w:bCs/>
          <w:noProof/>
          <w:lang w:val="en-CA"/>
        </w:rPr>
        <w:t>2</w:t>
      </w:r>
      <w:r w:rsidRPr="007640E5">
        <w:rPr>
          <w:rFonts w:ascii="Garamond" w:eastAsiaTheme="minorHAnsi" w:hAnsi="Garamond"/>
          <w:color w:val="000000"/>
          <w:lang w:val="en-CA"/>
        </w:rPr>
        <w:fldChar w:fldCharType="end"/>
      </w:r>
      <w:r w:rsidRPr="007640E5">
        <w:rPr>
          <w:rFonts w:ascii="Garamond" w:eastAsiaTheme="minorHAnsi" w:hAnsi="Garamond"/>
          <w:color w:val="000000"/>
          <w:lang w:val="en-CA"/>
        </w:rPr>
        <w:t xml:space="preserve"> shows the </w:t>
      </w:r>
      <w:r w:rsidR="00DE7CCE">
        <w:rPr>
          <w:rFonts w:ascii="Garamond" w:eastAsiaTheme="minorHAnsi" w:hAnsi="Garamond"/>
          <w:color w:val="000000"/>
          <w:lang w:val="en-CA"/>
        </w:rPr>
        <w:t>number of survey completions</w:t>
      </w:r>
      <w:r w:rsidRPr="007640E5">
        <w:rPr>
          <w:rFonts w:ascii="Garamond" w:eastAsiaTheme="minorHAnsi" w:hAnsi="Garamond"/>
          <w:color w:val="000000"/>
          <w:lang w:val="en-CA"/>
        </w:rPr>
        <w:t>.</w:t>
      </w:r>
    </w:p>
    <w:tbl>
      <w:tblPr>
        <w:tblW w:w="0" w:type="auto"/>
        <w:tblInd w:w="1548" w:type="dxa"/>
        <w:tblLayout w:type="fixed"/>
        <w:tblLook w:val="0000" w:firstRow="0" w:lastRow="0" w:firstColumn="0" w:lastColumn="0" w:noHBand="0" w:noVBand="0"/>
      </w:tblPr>
      <w:tblGrid>
        <w:gridCol w:w="3510"/>
        <w:gridCol w:w="2520"/>
      </w:tblGrid>
      <w:tr w:rsidR="007640E5" w:rsidRPr="00AF72C2" w:rsidTr="004631CA">
        <w:tc>
          <w:tcPr>
            <w:tcW w:w="6030" w:type="dxa"/>
            <w:gridSpan w:val="2"/>
            <w:tcBorders>
              <w:top w:val="single" w:sz="4" w:space="0" w:color="auto"/>
              <w:left w:val="single" w:sz="4" w:space="0" w:color="auto"/>
              <w:bottom w:val="single" w:sz="4" w:space="0" w:color="auto"/>
              <w:right w:val="single" w:sz="4" w:space="0" w:color="auto"/>
            </w:tcBorders>
            <w:shd w:val="clear" w:color="auto" w:fill="D9D9D9"/>
          </w:tcPr>
          <w:p w:rsidR="007640E5" w:rsidRPr="00AF72C2" w:rsidRDefault="007640E5" w:rsidP="007640E5">
            <w:pPr>
              <w:rPr>
                <w:rFonts w:ascii="Garamond" w:eastAsiaTheme="minorHAnsi" w:hAnsi="Garamond" w:cs="Arial"/>
                <w:bCs/>
                <w:sz w:val="22"/>
                <w:lang w:val="en-CA"/>
              </w:rPr>
            </w:pPr>
            <w:bookmarkStart w:id="8" w:name="_Ref420591184"/>
            <w:r w:rsidRPr="00AF72C2">
              <w:rPr>
                <w:rFonts w:ascii="Garamond" w:eastAsiaTheme="minorHAnsi" w:hAnsi="Garamond" w:cs="Arial"/>
                <w:b/>
                <w:bCs/>
                <w:sz w:val="22"/>
                <w:lang w:val="en-CA"/>
              </w:rPr>
              <w:t xml:space="preserve">Table </w:t>
            </w:r>
            <w:r w:rsidRPr="00AF72C2">
              <w:rPr>
                <w:rFonts w:ascii="Garamond" w:eastAsiaTheme="minorHAnsi" w:hAnsi="Garamond" w:cs="Arial"/>
                <w:b/>
                <w:bCs/>
                <w:sz w:val="22"/>
                <w:lang w:val="en-CA"/>
              </w:rPr>
              <w:fldChar w:fldCharType="begin"/>
            </w:r>
            <w:r w:rsidRPr="00AF72C2">
              <w:rPr>
                <w:rFonts w:ascii="Garamond" w:eastAsiaTheme="minorHAnsi" w:hAnsi="Garamond" w:cs="Arial"/>
                <w:b/>
                <w:bCs/>
                <w:sz w:val="22"/>
                <w:lang w:val="en-CA"/>
              </w:rPr>
              <w:instrText xml:space="preserve"> SEQ Table \* ARABIC </w:instrText>
            </w:r>
            <w:r w:rsidRPr="00AF72C2">
              <w:rPr>
                <w:rFonts w:ascii="Garamond" w:eastAsiaTheme="minorHAnsi" w:hAnsi="Garamond" w:cs="Arial"/>
                <w:b/>
                <w:bCs/>
                <w:sz w:val="22"/>
                <w:lang w:val="en-CA"/>
              </w:rPr>
              <w:fldChar w:fldCharType="separate"/>
            </w:r>
            <w:r w:rsidR="00AF72C2" w:rsidRPr="00AF72C2">
              <w:rPr>
                <w:rFonts w:ascii="Garamond" w:eastAsiaTheme="minorHAnsi" w:hAnsi="Garamond" w:cs="Arial"/>
                <w:b/>
                <w:bCs/>
                <w:noProof/>
                <w:sz w:val="22"/>
                <w:lang w:val="en-CA"/>
              </w:rPr>
              <w:t>2</w:t>
            </w:r>
            <w:r w:rsidRPr="00AF72C2">
              <w:rPr>
                <w:rFonts w:ascii="Garamond" w:eastAsiaTheme="minorHAnsi" w:hAnsi="Garamond" w:cs="Arial"/>
                <w:b/>
                <w:bCs/>
                <w:sz w:val="22"/>
                <w:lang w:val="en-CA"/>
              </w:rPr>
              <w:fldChar w:fldCharType="end"/>
            </w:r>
            <w:bookmarkEnd w:id="8"/>
            <w:r w:rsidRPr="00AF72C2">
              <w:rPr>
                <w:rFonts w:ascii="Garamond" w:eastAsiaTheme="minorHAnsi" w:hAnsi="Garamond" w:cs="Arial"/>
                <w:b/>
                <w:bCs/>
                <w:sz w:val="22"/>
                <w:lang w:val="en-CA"/>
              </w:rPr>
              <w:t>: Primary and secondary respondents surveyed</w:t>
            </w:r>
          </w:p>
        </w:tc>
      </w:tr>
      <w:tr w:rsidR="00D13213" w:rsidRPr="00AF72C2" w:rsidTr="00E3513F">
        <w:tc>
          <w:tcPr>
            <w:tcW w:w="3510" w:type="dxa"/>
            <w:tcBorders>
              <w:top w:val="single" w:sz="4" w:space="0" w:color="auto"/>
              <w:left w:val="single" w:sz="4" w:space="0" w:color="auto"/>
              <w:bottom w:val="single" w:sz="4" w:space="0" w:color="auto"/>
              <w:right w:val="single" w:sz="4" w:space="0" w:color="auto"/>
            </w:tcBorders>
          </w:tcPr>
          <w:p w:rsidR="00D13213" w:rsidRPr="00AF72C2" w:rsidRDefault="00D13213" w:rsidP="007640E5">
            <w:pPr>
              <w:spacing w:line="276" w:lineRule="auto"/>
              <w:rPr>
                <w:rFonts w:ascii="Garamond" w:hAnsi="Garamond" w:cs="Arial"/>
                <w:b/>
                <w:sz w:val="22"/>
                <w:lang w:val="en-CA"/>
              </w:rPr>
            </w:pPr>
          </w:p>
        </w:tc>
        <w:tc>
          <w:tcPr>
            <w:tcW w:w="2520" w:type="dxa"/>
            <w:tcBorders>
              <w:top w:val="single" w:sz="4" w:space="0" w:color="auto"/>
              <w:left w:val="single" w:sz="4" w:space="0" w:color="auto"/>
              <w:bottom w:val="single" w:sz="4" w:space="0" w:color="auto"/>
              <w:right w:val="single" w:sz="4" w:space="0" w:color="auto"/>
            </w:tcBorders>
          </w:tcPr>
          <w:p w:rsidR="00D13213" w:rsidRPr="00AF72C2" w:rsidRDefault="00D13213" w:rsidP="007640E5">
            <w:pPr>
              <w:spacing w:line="276" w:lineRule="auto"/>
              <w:jc w:val="right"/>
              <w:rPr>
                <w:rFonts w:ascii="Garamond" w:hAnsi="Garamond" w:cs="Arial"/>
                <w:b/>
                <w:sz w:val="22"/>
                <w:lang w:val="en-CA"/>
              </w:rPr>
            </w:pPr>
            <w:r w:rsidRPr="00AF72C2">
              <w:rPr>
                <w:rFonts w:ascii="Garamond" w:hAnsi="Garamond" w:cs="Arial"/>
                <w:b/>
                <w:sz w:val="22"/>
                <w:lang w:val="en-CA"/>
              </w:rPr>
              <w:t>Number</w:t>
            </w:r>
          </w:p>
        </w:tc>
      </w:tr>
      <w:tr w:rsidR="00D13213" w:rsidRPr="00AF72C2" w:rsidTr="00E3513F">
        <w:tc>
          <w:tcPr>
            <w:tcW w:w="3510" w:type="dxa"/>
            <w:tcBorders>
              <w:top w:val="single" w:sz="4" w:space="0" w:color="auto"/>
              <w:left w:val="single" w:sz="4" w:space="0" w:color="auto"/>
              <w:bottom w:val="single" w:sz="4" w:space="0" w:color="auto"/>
              <w:right w:val="single" w:sz="4" w:space="0" w:color="auto"/>
            </w:tcBorders>
          </w:tcPr>
          <w:p w:rsidR="00D13213" w:rsidRPr="00AF72C2" w:rsidRDefault="00D13213" w:rsidP="007640E5">
            <w:pPr>
              <w:spacing w:line="276" w:lineRule="auto"/>
              <w:rPr>
                <w:rFonts w:ascii="Garamond" w:hAnsi="Garamond" w:cs="Arial"/>
                <w:sz w:val="22"/>
                <w:lang w:val="en-CA"/>
              </w:rPr>
            </w:pPr>
            <w:r w:rsidRPr="00AF72C2">
              <w:rPr>
                <w:rFonts w:ascii="Garamond" w:hAnsi="Garamond" w:cs="Arial"/>
                <w:sz w:val="22"/>
                <w:lang w:val="en-CA"/>
              </w:rPr>
              <w:t>Primary (injured worker)</w:t>
            </w:r>
          </w:p>
        </w:tc>
        <w:tc>
          <w:tcPr>
            <w:tcW w:w="2520" w:type="dxa"/>
            <w:tcBorders>
              <w:top w:val="single" w:sz="4" w:space="0" w:color="auto"/>
              <w:left w:val="single" w:sz="4" w:space="0" w:color="auto"/>
              <w:bottom w:val="single" w:sz="4" w:space="0" w:color="auto"/>
              <w:right w:val="single" w:sz="4" w:space="0" w:color="auto"/>
            </w:tcBorders>
          </w:tcPr>
          <w:p w:rsidR="00D13213" w:rsidRPr="00AF72C2" w:rsidRDefault="00D13213" w:rsidP="007640E5">
            <w:pPr>
              <w:spacing w:line="276" w:lineRule="auto"/>
              <w:jc w:val="right"/>
              <w:rPr>
                <w:rFonts w:ascii="Garamond" w:hAnsi="Garamond" w:cs="Arial"/>
                <w:sz w:val="22"/>
                <w:lang w:val="en-CA"/>
              </w:rPr>
            </w:pPr>
            <w:r w:rsidRPr="00AF72C2">
              <w:rPr>
                <w:rFonts w:ascii="Garamond" w:hAnsi="Garamond" w:cs="Arial"/>
                <w:sz w:val="22"/>
                <w:lang w:val="en-CA"/>
              </w:rPr>
              <w:t>2,310</w:t>
            </w:r>
          </w:p>
        </w:tc>
      </w:tr>
      <w:tr w:rsidR="00D13213" w:rsidRPr="00AF72C2" w:rsidTr="00E3513F">
        <w:tc>
          <w:tcPr>
            <w:tcW w:w="3510" w:type="dxa"/>
            <w:tcBorders>
              <w:top w:val="single" w:sz="4" w:space="0" w:color="auto"/>
              <w:left w:val="single" w:sz="4" w:space="0" w:color="auto"/>
              <w:bottom w:val="single" w:sz="4" w:space="0" w:color="auto"/>
              <w:right w:val="single" w:sz="4" w:space="0" w:color="auto"/>
            </w:tcBorders>
          </w:tcPr>
          <w:p w:rsidR="00D13213" w:rsidRPr="00AF72C2" w:rsidRDefault="00D13213" w:rsidP="007640E5">
            <w:pPr>
              <w:spacing w:line="276" w:lineRule="auto"/>
              <w:rPr>
                <w:rFonts w:ascii="Garamond" w:hAnsi="Garamond" w:cs="Arial"/>
                <w:sz w:val="22"/>
                <w:lang w:val="en-CA"/>
              </w:rPr>
            </w:pPr>
            <w:r w:rsidRPr="00AF72C2">
              <w:rPr>
                <w:rFonts w:ascii="Garamond" w:hAnsi="Garamond" w:cs="Arial"/>
                <w:sz w:val="22"/>
                <w:lang w:val="en-CA"/>
              </w:rPr>
              <w:t>Secondary (carer)</w:t>
            </w:r>
          </w:p>
        </w:tc>
        <w:tc>
          <w:tcPr>
            <w:tcW w:w="2520" w:type="dxa"/>
            <w:tcBorders>
              <w:top w:val="single" w:sz="4" w:space="0" w:color="auto"/>
              <w:left w:val="single" w:sz="4" w:space="0" w:color="auto"/>
              <w:bottom w:val="single" w:sz="4" w:space="0" w:color="auto"/>
              <w:right w:val="single" w:sz="4" w:space="0" w:color="auto"/>
            </w:tcBorders>
          </w:tcPr>
          <w:p w:rsidR="00D13213" w:rsidRPr="00AF72C2" w:rsidRDefault="00D13213" w:rsidP="007640E5">
            <w:pPr>
              <w:spacing w:line="276" w:lineRule="auto"/>
              <w:jc w:val="right"/>
              <w:rPr>
                <w:rFonts w:ascii="Garamond" w:hAnsi="Garamond" w:cs="Arial"/>
                <w:sz w:val="22"/>
                <w:lang w:val="en-CA"/>
              </w:rPr>
            </w:pPr>
            <w:r w:rsidRPr="00AF72C2">
              <w:rPr>
                <w:rFonts w:ascii="Garamond" w:hAnsi="Garamond" w:cs="Arial"/>
                <w:sz w:val="22"/>
                <w:lang w:val="en-CA"/>
              </w:rPr>
              <w:t>510</w:t>
            </w:r>
          </w:p>
        </w:tc>
      </w:tr>
      <w:tr w:rsidR="00D13213" w:rsidRPr="00AF72C2" w:rsidTr="00E3513F">
        <w:tc>
          <w:tcPr>
            <w:tcW w:w="3510" w:type="dxa"/>
            <w:tcBorders>
              <w:top w:val="single" w:sz="4" w:space="0" w:color="auto"/>
              <w:left w:val="single" w:sz="4" w:space="0" w:color="auto"/>
              <w:bottom w:val="single" w:sz="4" w:space="0" w:color="auto"/>
              <w:right w:val="single" w:sz="4" w:space="0" w:color="auto"/>
            </w:tcBorders>
          </w:tcPr>
          <w:p w:rsidR="00D13213" w:rsidRPr="00AF72C2" w:rsidRDefault="00D13213" w:rsidP="007640E5">
            <w:pPr>
              <w:spacing w:line="276" w:lineRule="auto"/>
              <w:rPr>
                <w:rFonts w:ascii="Garamond" w:hAnsi="Garamond" w:cs="Arial"/>
                <w:b/>
                <w:sz w:val="22"/>
                <w:lang w:val="en-CA"/>
              </w:rPr>
            </w:pPr>
            <w:r w:rsidRPr="00AF72C2">
              <w:rPr>
                <w:rFonts w:ascii="Garamond" w:hAnsi="Garamond" w:cs="Arial"/>
                <w:b/>
                <w:sz w:val="22"/>
                <w:lang w:val="en-CA"/>
              </w:rPr>
              <w:t>Total</w:t>
            </w:r>
          </w:p>
        </w:tc>
        <w:tc>
          <w:tcPr>
            <w:tcW w:w="2520" w:type="dxa"/>
            <w:tcBorders>
              <w:top w:val="single" w:sz="4" w:space="0" w:color="auto"/>
              <w:left w:val="single" w:sz="4" w:space="0" w:color="auto"/>
              <w:bottom w:val="single" w:sz="4" w:space="0" w:color="auto"/>
              <w:right w:val="single" w:sz="4" w:space="0" w:color="auto"/>
            </w:tcBorders>
          </w:tcPr>
          <w:p w:rsidR="00D13213" w:rsidRPr="00AF72C2" w:rsidRDefault="00D13213" w:rsidP="007640E5">
            <w:pPr>
              <w:spacing w:line="276" w:lineRule="auto"/>
              <w:jc w:val="right"/>
              <w:rPr>
                <w:rFonts w:ascii="Garamond" w:hAnsi="Garamond" w:cs="Arial"/>
                <w:sz w:val="22"/>
                <w:lang w:val="en-CA"/>
              </w:rPr>
            </w:pPr>
            <w:r w:rsidRPr="00AF72C2">
              <w:rPr>
                <w:rFonts w:ascii="Garamond" w:hAnsi="Garamond" w:cs="Arial"/>
                <w:sz w:val="22"/>
                <w:lang w:val="en-CA"/>
              </w:rPr>
              <w:t>2,820</w:t>
            </w:r>
          </w:p>
        </w:tc>
      </w:tr>
      <w:tr w:rsidR="007640E5" w:rsidRPr="00AF72C2" w:rsidTr="00D13213">
        <w:trPr>
          <w:trHeight w:val="411"/>
        </w:trPr>
        <w:tc>
          <w:tcPr>
            <w:tcW w:w="6030" w:type="dxa"/>
            <w:gridSpan w:val="2"/>
            <w:tcBorders>
              <w:top w:val="single" w:sz="4" w:space="0" w:color="auto"/>
              <w:left w:val="single" w:sz="4" w:space="0" w:color="auto"/>
              <w:bottom w:val="single" w:sz="4" w:space="0" w:color="auto"/>
              <w:right w:val="single" w:sz="4" w:space="0" w:color="auto"/>
            </w:tcBorders>
          </w:tcPr>
          <w:p w:rsidR="007640E5" w:rsidRPr="00AF72C2" w:rsidRDefault="007640E5" w:rsidP="007640E5">
            <w:pPr>
              <w:spacing w:line="276" w:lineRule="auto"/>
              <w:rPr>
                <w:rFonts w:ascii="Garamond" w:hAnsi="Garamond" w:cs="Arial"/>
                <w:sz w:val="22"/>
                <w:lang w:val="en-CA"/>
              </w:rPr>
            </w:pPr>
            <w:r w:rsidRPr="00AF72C2">
              <w:rPr>
                <w:rFonts w:ascii="Garamond" w:hAnsi="Garamond" w:cs="Arial"/>
                <w:sz w:val="22"/>
                <w:lang w:val="en-CA"/>
              </w:rPr>
              <w:t>Source: PRA Survey of primary and secondary respondents (August 2014 – January 2015)</w:t>
            </w:r>
          </w:p>
        </w:tc>
      </w:tr>
    </w:tbl>
    <w:p w:rsidR="007640E5" w:rsidRDefault="007640E5" w:rsidP="009512EC">
      <w:pPr>
        <w:autoSpaceDE w:val="0"/>
        <w:autoSpaceDN w:val="0"/>
        <w:adjustRightInd w:val="0"/>
        <w:spacing w:after="240"/>
        <w:rPr>
          <w:rFonts w:ascii="Garamond" w:eastAsiaTheme="minorHAnsi" w:hAnsi="Garamond"/>
          <w:color w:val="000000"/>
          <w:sz w:val="28"/>
          <w:lang w:val="en-CA"/>
        </w:rPr>
      </w:pPr>
    </w:p>
    <w:p w:rsidR="002615CA" w:rsidRPr="007640E5" w:rsidRDefault="002615CA" w:rsidP="009512EC">
      <w:pPr>
        <w:autoSpaceDE w:val="0"/>
        <w:autoSpaceDN w:val="0"/>
        <w:adjustRightInd w:val="0"/>
        <w:spacing w:after="240"/>
        <w:rPr>
          <w:rFonts w:ascii="Garamond" w:hAnsi="Garamond"/>
          <w:b/>
        </w:rPr>
      </w:pPr>
      <w:r w:rsidRPr="007640E5">
        <w:rPr>
          <w:rFonts w:ascii="Garamond" w:hAnsi="Garamond"/>
          <w:b/>
        </w:rPr>
        <w:t xml:space="preserve">Questionnaire form and content to promote salience </w:t>
      </w:r>
    </w:p>
    <w:p w:rsidR="002615CA" w:rsidRPr="007640E5" w:rsidRDefault="002615CA" w:rsidP="002615CA">
      <w:pPr>
        <w:autoSpaceDE w:val="0"/>
        <w:autoSpaceDN w:val="0"/>
        <w:adjustRightInd w:val="0"/>
        <w:spacing w:after="240"/>
        <w:rPr>
          <w:rFonts w:ascii="Garamond" w:eastAsiaTheme="minorHAnsi" w:hAnsi="Garamond"/>
          <w:color w:val="000000"/>
          <w:lang w:val="en-CA"/>
        </w:rPr>
      </w:pPr>
      <w:r w:rsidRPr="007640E5">
        <w:rPr>
          <w:rFonts w:ascii="Garamond" w:eastAsiaTheme="minorHAnsi" w:hAnsi="Garamond"/>
          <w:color w:val="000000"/>
          <w:lang w:val="en-CA"/>
        </w:rPr>
        <w:t>The primary respondent survey had eight phases:</w:t>
      </w:r>
    </w:p>
    <w:p w:rsidR="002615CA" w:rsidRPr="007640E5" w:rsidRDefault="002615CA" w:rsidP="002615CA">
      <w:pPr>
        <w:numPr>
          <w:ilvl w:val="0"/>
          <w:numId w:val="16"/>
        </w:numPr>
        <w:autoSpaceDE w:val="0"/>
        <w:autoSpaceDN w:val="0"/>
        <w:adjustRightInd w:val="0"/>
        <w:spacing w:after="120"/>
        <w:rPr>
          <w:rFonts w:ascii="Garamond" w:eastAsiaTheme="minorHAnsi" w:hAnsi="Garamond"/>
          <w:color w:val="000000"/>
          <w:lang w:val="en-CA"/>
        </w:rPr>
      </w:pPr>
      <w:r w:rsidRPr="007640E5">
        <w:rPr>
          <w:rFonts w:ascii="Garamond" w:eastAsiaTheme="minorHAnsi" w:hAnsi="Garamond"/>
          <w:color w:val="000000"/>
          <w:lang w:val="en-CA"/>
        </w:rPr>
        <w:t>The introduction established respondent qualification.</w:t>
      </w:r>
    </w:p>
    <w:p w:rsidR="002615CA" w:rsidRPr="007640E5" w:rsidRDefault="002615CA" w:rsidP="002615CA">
      <w:pPr>
        <w:numPr>
          <w:ilvl w:val="0"/>
          <w:numId w:val="16"/>
        </w:numPr>
        <w:autoSpaceDE w:val="0"/>
        <w:autoSpaceDN w:val="0"/>
        <w:adjustRightInd w:val="0"/>
        <w:spacing w:after="120"/>
        <w:rPr>
          <w:rFonts w:ascii="Garamond" w:eastAsiaTheme="minorHAnsi" w:hAnsi="Garamond"/>
          <w:color w:val="000000"/>
          <w:lang w:val="en-CA"/>
        </w:rPr>
      </w:pPr>
      <w:r w:rsidRPr="007640E5">
        <w:rPr>
          <w:rFonts w:ascii="Garamond" w:eastAsiaTheme="minorHAnsi" w:hAnsi="Garamond"/>
          <w:color w:val="000000"/>
          <w:lang w:val="en-CA"/>
        </w:rPr>
        <w:t xml:space="preserve">Questions </w:t>
      </w:r>
      <w:r w:rsidR="00E85200">
        <w:rPr>
          <w:rFonts w:ascii="Garamond" w:eastAsiaTheme="minorHAnsi" w:hAnsi="Garamond"/>
          <w:color w:val="000000"/>
          <w:lang w:val="en-CA"/>
        </w:rPr>
        <w:t>about</w:t>
      </w:r>
      <w:r w:rsidRPr="007640E5">
        <w:rPr>
          <w:rFonts w:ascii="Garamond" w:eastAsiaTheme="minorHAnsi" w:hAnsi="Garamond"/>
          <w:color w:val="000000"/>
          <w:lang w:val="en-CA"/>
        </w:rPr>
        <w:t xml:space="preserve"> the injury and occupation at the time </w:t>
      </w:r>
      <w:r w:rsidR="00E85200">
        <w:rPr>
          <w:rFonts w:ascii="Garamond" w:eastAsiaTheme="minorHAnsi" w:hAnsi="Garamond"/>
          <w:color w:val="000000"/>
          <w:lang w:val="en-CA"/>
        </w:rPr>
        <w:t xml:space="preserve">of the injury to </w:t>
      </w:r>
      <w:r w:rsidRPr="007640E5">
        <w:rPr>
          <w:rFonts w:ascii="Garamond" w:eastAsiaTheme="minorHAnsi" w:hAnsi="Garamond"/>
          <w:color w:val="000000"/>
          <w:lang w:val="en-CA"/>
        </w:rPr>
        <w:t>provide context for the remaining questions.</w:t>
      </w:r>
    </w:p>
    <w:p w:rsidR="002615CA" w:rsidRPr="007640E5" w:rsidRDefault="002615CA" w:rsidP="002615CA">
      <w:pPr>
        <w:numPr>
          <w:ilvl w:val="0"/>
          <w:numId w:val="16"/>
        </w:numPr>
        <w:autoSpaceDE w:val="0"/>
        <w:autoSpaceDN w:val="0"/>
        <w:adjustRightInd w:val="0"/>
        <w:spacing w:after="120"/>
        <w:rPr>
          <w:rFonts w:ascii="Garamond" w:eastAsiaTheme="minorHAnsi" w:hAnsi="Garamond"/>
          <w:color w:val="000000"/>
          <w:lang w:val="en-CA"/>
        </w:rPr>
      </w:pPr>
      <w:r w:rsidRPr="007640E5">
        <w:rPr>
          <w:rFonts w:ascii="Garamond" w:eastAsiaTheme="minorHAnsi" w:hAnsi="Garamond"/>
          <w:color w:val="000000"/>
          <w:lang w:val="en-CA"/>
        </w:rPr>
        <w:t>Questions prob</w:t>
      </w:r>
      <w:r w:rsidR="00E85200">
        <w:rPr>
          <w:rFonts w:ascii="Garamond" w:eastAsiaTheme="minorHAnsi" w:hAnsi="Garamond"/>
          <w:color w:val="000000"/>
          <w:lang w:val="en-CA"/>
        </w:rPr>
        <w:t>ing</w:t>
      </w:r>
      <w:r w:rsidRPr="007640E5">
        <w:rPr>
          <w:rFonts w:ascii="Garamond" w:eastAsiaTheme="minorHAnsi" w:hAnsi="Garamond"/>
          <w:color w:val="000000"/>
          <w:lang w:val="en-CA"/>
        </w:rPr>
        <w:t xml:space="preserve"> for employment and income before and after injury, using WCB information to frame the responses. Note that </w:t>
      </w:r>
      <w:r w:rsidR="00E85200">
        <w:rPr>
          <w:rFonts w:ascii="Garamond" w:eastAsiaTheme="minorHAnsi" w:hAnsi="Garamond"/>
          <w:color w:val="000000"/>
          <w:lang w:val="en-CA"/>
        </w:rPr>
        <w:t xml:space="preserve">the </w:t>
      </w:r>
      <w:r w:rsidRPr="007640E5">
        <w:rPr>
          <w:rFonts w:ascii="Garamond" w:eastAsiaTheme="minorHAnsi" w:hAnsi="Garamond"/>
          <w:color w:val="000000"/>
          <w:lang w:val="en-CA"/>
        </w:rPr>
        <w:t xml:space="preserve">WCB has little income or asset information </w:t>
      </w:r>
      <w:r w:rsidR="00E85200">
        <w:rPr>
          <w:rFonts w:ascii="Garamond" w:eastAsiaTheme="minorHAnsi" w:hAnsi="Garamond"/>
          <w:color w:val="000000"/>
          <w:lang w:val="en-CA"/>
        </w:rPr>
        <w:t xml:space="preserve">for the period </w:t>
      </w:r>
      <w:r w:rsidRPr="007640E5">
        <w:rPr>
          <w:rFonts w:ascii="Garamond" w:eastAsiaTheme="minorHAnsi" w:hAnsi="Garamond"/>
          <w:color w:val="000000"/>
          <w:lang w:val="en-CA"/>
        </w:rPr>
        <w:t>after the accident — respondents are the only source of this information.</w:t>
      </w:r>
    </w:p>
    <w:p w:rsidR="002615CA" w:rsidRPr="007640E5" w:rsidRDefault="002615CA" w:rsidP="002615CA">
      <w:pPr>
        <w:numPr>
          <w:ilvl w:val="0"/>
          <w:numId w:val="16"/>
        </w:numPr>
        <w:autoSpaceDE w:val="0"/>
        <w:autoSpaceDN w:val="0"/>
        <w:adjustRightInd w:val="0"/>
        <w:spacing w:after="120"/>
        <w:rPr>
          <w:rFonts w:ascii="Garamond" w:eastAsiaTheme="minorHAnsi" w:hAnsi="Garamond"/>
          <w:color w:val="000000"/>
          <w:lang w:val="en-CA"/>
        </w:rPr>
      </w:pPr>
      <w:r w:rsidRPr="007640E5">
        <w:rPr>
          <w:rFonts w:ascii="Garamond" w:eastAsiaTheme="minorHAnsi" w:hAnsi="Garamond"/>
          <w:color w:val="000000"/>
          <w:lang w:val="en-CA"/>
        </w:rPr>
        <w:t>Direct cost questions collected information on the expenses</w:t>
      </w:r>
      <w:r w:rsidR="00E85200">
        <w:rPr>
          <w:rFonts w:ascii="Garamond" w:eastAsiaTheme="minorHAnsi" w:hAnsi="Garamond"/>
          <w:color w:val="000000"/>
          <w:lang w:val="en-CA"/>
        </w:rPr>
        <w:t xml:space="preserve"> that were not supported by the WCB, but instead were</w:t>
      </w:r>
      <w:r w:rsidRPr="007640E5">
        <w:rPr>
          <w:rFonts w:ascii="Garamond" w:eastAsiaTheme="minorHAnsi" w:hAnsi="Garamond"/>
          <w:color w:val="000000"/>
          <w:lang w:val="en-CA"/>
        </w:rPr>
        <w:t xml:space="preserve"> funded by the respondent (and family). This included tracking any asset disposal needed to pay for medical, rehabilitation, and retraining expenses.</w:t>
      </w:r>
    </w:p>
    <w:p w:rsidR="002615CA" w:rsidRPr="007640E5" w:rsidRDefault="002615CA" w:rsidP="002615CA">
      <w:pPr>
        <w:numPr>
          <w:ilvl w:val="0"/>
          <w:numId w:val="16"/>
        </w:numPr>
        <w:autoSpaceDE w:val="0"/>
        <w:autoSpaceDN w:val="0"/>
        <w:adjustRightInd w:val="0"/>
        <w:spacing w:after="120"/>
        <w:rPr>
          <w:rFonts w:ascii="Garamond" w:eastAsiaTheme="minorHAnsi" w:hAnsi="Garamond"/>
          <w:color w:val="000000"/>
          <w:lang w:val="en-CA"/>
        </w:rPr>
      </w:pPr>
      <w:r w:rsidRPr="007640E5">
        <w:rPr>
          <w:rFonts w:ascii="Garamond" w:eastAsiaTheme="minorHAnsi" w:hAnsi="Garamond"/>
          <w:color w:val="000000"/>
          <w:lang w:val="en-CA"/>
        </w:rPr>
        <w:lastRenderedPageBreak/>
        <w:t>Questions on the perceived impact the injury has had on friends and family</w:t>
      </w:r>
      <w:r w:rsidR="00E85200">
        <w:rPr>
          <w:rFonts w:ascii="Garamond" w:eastAsiaTheme="minorHAnsi" w:hAnsi="Garamond"/>
          <w:color w:val="000000"/>
          <w:lang w:val="en-CA"/>
        </w:rPr>
        <w:t>,</w:t>
      </w:r>
      <w:r w:rsidRPr="007640E5">
        <w:rPr>
          <w:rFonts w:ascii="Garamond" w:eastAsiaTheme="minorHAnsi" w:hAnsi="Garamond"/>
          <w:color w:val="000000"/>
          <w:lang w:val="en-CA"/>
        </w:rPr>
        <w:t xml:space="preserve"> includ</w:t>
      </w:r>
      <w:r w:rsidR="00E85200">
        <w:rPr>
          <w:rFonts w:ascii="Garamond" w:eastAsiaTheme="minorHAnsi" w:hAnsi="Garamond"/>
          <w:color w:val="000000"/>
          <w:lang w:val="en-CA"/>
        </w:rPr>
        <w:t>ing</w:t>
      </w:r>
      <w:r w:rsidRPr="007640E5">
        <w:rPr>
          <w:rFonts w:ascii="Garamond" w:eastAsiaTheme="minorHAnsi" w:hAnsi="Garamond"/>
          <w:color w:val="000000"/>
          <w:lang w:val="en-CA"/>
        </w:rPr>
        <w:t xml:space="preserve"> an enumeration of all those who the respondent recalled helping </w:t>
      </w:r>
      <w:r w:rsidR="00E85200">
        <w:rPr>
          <w:rFonts w:ascii="Garamond" w:eastAsiaTheme="minorHAnsi" w:hAnsi="Garamond"/>
          <w:color w:val="000000"/>
          <w:lang w:val="en-CA"/>
        </w:rPr>
        <w:t xml:space="preserve">them, </w:t>
      </w:r>
      <w:r w:rsidRPr="007640E5">
        <w:rPr>
          <w:rFonts w:ascii="Garamond" w:eastAsiaTheme="minorHAnsi" w:hAnsi="Garamond"/>
          <w:color w:val="000000"/>
          <w:lang w:val="en-CA"/>
        </w:rPr>
        <w:t>and the number of hours per week that help was (is) needed.</w:t>
      </w:r>
    </w:p>
    <w:p w:rsidR="002615CA" w:rsidRPr="007640E5" w:rsidRDefault="002615CA" w:rsidP="002615CA">
      <w:pPr>
        <w:numPr>
          <w:ilvl w:val="0"/>
          <w:numId w:val="16"/>
        </w:numPr>
        <w:autoSpaceDE w:val="0"/>
        <w:autoSpaceDN w:val="0"/>
        <w:adjustRightInd w:val="0"/>
        <w:spacing w:after="120"/>
        <w:rPr>
          <w:rFonts w:ascii="Garamond" w:eastAsiaTheme="minorHAnsi" w:hAnsi="Garamond"/>
          <w:color w:val="000000"/>
          <w:lang w:val="en-CA"/>
        </w:rPr>
      </w:pPr>
      <w:r w:rsidRPr="007640E5">
        <w:rPr>
          <w:rFonts w:ascii="Garamond" w:eastAsiaTheme="minorHAnsi" w:hAnsi="Garamond"/>
          <w:color w:val="000000"/>
          <w:lang w:val="en-CA"/>
        </w:rPr>
        <w:t>Standard questions collected information on the ability of the respondent to complete common activities of daily living (personal care, household care, mobility, etc.)</w:t>
      </w:r>
    </w:p>
    <w:p w:rsidR="002615CA" w:rsidRPr="007640E5" w:rsidRDefault="002615CA" w:rsidP="002615CA">
      <w:pPr>
        <w:numPr>
          <w:ilvl w:val="0"/>
          <w:numId w:val="16"/>
        </w:numPr>
        <w:autoSpaceDE w:val="0"/>
        <w:autoSpaceDN w:val="0"/>
        <w:adjustRightInd w:val="0"/>
        <w:spacing w:after="120"/>
        <w:rPr>
          <w:rFonts w:ascii="Garamond" w:eastAsiaTheme="minorHAnsi" w:hAnsi="Garamond"/>
          <w:color w:val="000000"/>
          <w:lang w:val="en-CA"/>
        </w:rPr>
      </w:pPr>
      <w:r w:rsidRPr="007640E5">
        <w:rPr>
          <w:rFonts w:ascii="Garamond" w:eastAsiaTheme="minorHAnsi" w:hAnsi="Garamond"/>
          <w:color w:val="000000"/>
          <w:lang w:val="en-CA"/>
        </w:rPr>
        <w:t>The most challenging part of the questionnaire asked respondents to indicate their willingness to pay for “a quick and painless treatment that would let you recover immediately and avoid all the necessary recovery time required for your injury.”</w:t>
      </w:r>
    </w:p>
    <w:p w:rsidR="002615CA" w:rsidRDefault="002615CA" w:rsidP="002615CA">
      <w:pPr>
        <w:numPr>
          <w:ilvl w:val="0"/>
          <w:numId w:val="16"/>
        </w:numPr>
        <w:autoSpaceDE w:val="0"/>
        <w:autoSpaceDN w:val="0"/>
        <w:adjustRightInd w:val="0"/>
        <w:spacing w:after="240"/>
        <w:rPr>
          <w:rFonts w:ascii="Garamond" w:hAnsi="Garamond"/>
        </w:rPr>
      </w:pPr>
      <w:r w:rsidRPr="007640E5">
        <w:rPr>
          <w:rFonts w:ascii="Garamond" w:eastAsiaTheme="minorHAnsi" w:hAnsi="Garamond"/>
          <w:color w:val="000000"/>
          <w:lang w:val="en-CA"/>
        </w:rPr>
        <w:t>Finally, the questionnaire asked the respondent to identify a “spouse, partner, or another adult living with you who is familiar with your injury.” Note that, unlike the dyads where adults not living in the same household were accepted as secondary respondents, we elected to tighten the bond between primary and secondary respondent, since cohabitation contributed to a better understanding of the full impacts of the injury</w:t>
      </w:r>
      <w:r w:rsidR="00E85200">
        <w:rPr>
          <w:rFonts w:ascii="Garamond" w:eastAsiaTheme="minorHAnsi" w:hAnsi="Garamond"/>
          <w:color w:val="000000"/>
          <w:lang w:val="en-CA"/>
        </w:rPr>
        <w:t>.</w:t>
      </w:r>
      <w:r w:rsidRPr="007640E5">
        <w:rPr>
          <w:rFonts w:ascii="Garamond" w:eastAsiaTheme="minorHAnsi" w:hAnsi="Garamond"/>
          <w:color w:val="000000"/>
          <w:lang w:val="en-CA"/>
        </w:rPr>
        <w:t xml:space="preserve"> </w:t>
      </w:r>
      <w:r w:rsidR="00E85200">
        <w:rPr>
          <w:rFonts w:ascii="Garamond" w:eastAsiaTheme="minorHAnsi" w:hAnsi="Garamond"/>
          <w:color w:val="000000"/>
          <w:lang w:val="en-CA"/>
        </w:rPr>
        <w:t>T</w:t>
      </w:r>
      <w:r w:rsidRPr="007640E5">
        <w:rPr>
          <w:rFonts w:ascii="Garamond" w:hAnsi="Garamond"/>
        </w:rPr>
        <w:t xml:space="preserve">he primary respondent provided the name of a household resident that </w:t>
      </w:r>
      <w:r w:rsidR="007640E5">
        <w:rPr>
          <w:rFonts w:ascii="Garamond" w:hAnsi="Garamond"/>
        </w:rPr>
        <w:t>had provided support during the recovery period.</w:t>
      </w:r>
    </w:p>
    <w:p w:rsidR="007640E5" w:rsidRPr="007640E5" w:rsidRDefault="007640E5" w:rsidP="007640E5">
      <w:pPr>
        <w:autoSpaceDE w:val="0"/>
        <w:autoSpaceDN w:val="0"/>
        <w:adjustRightInd w:val="0"/>
        <w:spacing w:after="240"/>
        <w:ind w:left="720"/>
        <w:rPr>
          <w:rFonts w:ascii="Garamond" w:hAnsi="Garamond"/>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9314"/>
      </w:tblGrid>
      <w:tr w:rsidR="002615CA" w:rsidRPr="007640E5" w:rsidTr="002615CA">
        <w:tc>
          <w:tcPr>
            <w:tcW w:w="9576" w:type="dxa"/>
          </w:tcPr>
          <w:p w:rsidR="002615CA" w:rsidRPr="007640E5" w:rsidRDefault="002615CA" w:rsidP="00C616B7">
            <w:pPr>
              <w:rPr>
                <w:rFonts w:ascii="Garamond" w:hAnsi="Garamond"/>
                <w:lang w:val="en-CA"/>
              </w:rPr>
            </w:pPr>
            <w:r w:rsidRPr="007640E5">
              <w:rPr>
                <w:rFonts w:ascii="Garamond" w:hAnsi="Garamond"/>
                <w:lang w:val="en-CA"/>
              </w:rPr>
              <w:t>In the letter I mentioned at the start of this survey, we noted that i</w:t>
            </w:r>
            <w:r w:rsidR="00D875D4" w:rsidRPr="007640E5">
              <w:rPr>
                <w:rFonts w:ascii="Garamond" w:hAnsi="Garamond"/>
                <w:lang w:val="en-CA"/>
              </w:rPr>
              <w:t xml:space="preserve">t would be very helpful to also </w:t>
            </w:r>
            <w:r w:rsidRPr="007640E5">
              <w:rPr>
                <w:rFonts w:ascii="Garamond" w:hAnsi="Garamond"/>
                <w:lang w:val="en-CA"/>
              </w:rPr>
              <w:t xml:space="preserve">speak to your spouse, partner, or another adult living with you who is familiar with your injury. </w:t>
            </w:r>
          </w:p>
          <w:p w:rsidR="002615CA" w:rsidRPr="007640E5" w:rsidRDefault="002615CA" w:rsidP="00C616B7">
            <w:pPr>
              <w:rPr>
                <w:rFonts w:ascii="Garamond" w:hAnsi="Garamond"/>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1801"/>
              <w:gridCol w:w="694"/>
              <w:gridCol w:w="5731"/>
            </w:tblGrid>
            <w:tr w:rsidR="002615CA" w:rsidRPr="007640E5" w:rsidTr="00C616B7">
              <w:tc>
                <w:tcPr>
                  <w:tcW w:w="9576" w:type="dxa"/>
                  <w:gridSpan w:val="4"/>
                </w:tcPr>
                <w:p w:rsidR="002615CA" w:rsidRPr="007640E5" w:rsidRDefault="002615CA" w:rsidP="00C616B7">
                  <w:pPr>
                    <w:numPr>
                      <w:ilvl w:val="0"/>
                      <w:numId w:val="17"/>
                    </w:numPr>
                    <w:contextualSpacing/>
                    <w:rPr>
                      <w:rFonts w:ascii="Garamond" w:hAnsi="Garamond"/>
                      <w:lang w:val="en-CA"/>
                    </w:rPr>
                  </w:pPr>
                  <w:r w:rsidRPr="007640E5">
                    <w:rPr>
                      <w:rFonts w:ascii="Garamond" w:hAnsi="Garamond"/>
                      <w:lang w:val="en-CA"/>
                    </w:rPr>
                    <w:t xml:space="preserve">Is there someone like this in your household? </w:t>
                  </w:r>
                </w:p>
              </w:tc>
            </w:tr>
            <w:tr w:rsidR="002615CA" w:rsidRPr="007640E5" w:rsidTr="00C616B7">
              <w:tc>
                <w:tcPr>
                  <w:tcW w:w="918" w:type="dxa"/>
                </w:tcPr>
                <w:p w:rsidR="002615CA" w:rsidRPr="007640E5" w:rsidRDefault="002615CA" w:rsidP="00C616B7">
                  <w:pPr>
                    <w:rPr>
                      <w:rFonts w:ascii="Garamond" w:hAnsi="Garamond"/>
                      <w:lang w:val="en-CA"/>
                    </w:rPr>
                  </w:pPr>
                </w:p>
              </w:tc>
              <w:tc>
                <w:tcPr>
                  <w:tcW w:w="1890" w:type="dxa"/>
                </w:tcPr>
                <w:p w:rsidR="002615CA" w:rsidRPr="007640E5" w:rsidRDefault="002615CA" w:rsidP="00C616B7">
                  <w:pPr>
                    <w:rPr>
                      <w:rFonts w:ascii="Garamond" w:hAnsi="Garamond"/>
                      <w:lang w:val="en-CA"/>
                    </w:rPr>
                  </w:pPr>
                  <w:r w:rsidRPr="007640E5">
                    <w:rPr>
                      <w:rFonts w:ascii="Garamond" w:hAnsi="Garamond"/>
                      <w:lang w:val="en-CA"/>
                    </w:rPr>
                    <w:t>Yes</w:t>
                  </w:r>
                </w:p>
              </w:tc>
              <w:tc>
                <w:tcPr>
                  <w:tcW w:w="720" w:type="dxa"/>
                </w:tcPr>
                <w:p w:rsidR="002615CA" w:rsidRPr="007640E5" w:rsidRDefault="002615CA" w:rsidP="00C616B7">
                  <w:pPr>
                    <w:rPr>
                      <w:rFonts w:ascii="Garamond" w:hAnsi="Garamond"/>
                      <w:lang w:val="en-CA"/>
                    </w:rPr>
                  </w:pPr>
                  <w:r w:rsidRPr="007640E5">
                    <w:rPr>
                      <w:rFonts w:ascii="Garamond" w:hAnsi="Garamond"/>
                      <w:lang w:val="en-CA"/>
                    </w:rPr>
                    <w:t>1</w:t>
                  </w:r>
                </w:p>
              </w:tc>
              <w:tc>
                <w:tcPr>
                  <w:tcW w:w="6048" w:type="dxa"/>
                </w:tcPr>
                <w:p w:rsidR="002615CA" w:rsidRPr="007640E5" w:rsidRDefault="002615CA" w:rsidP="00C616B7">
                  <w:pPr>
                    <w:rPr>
                      <w:rFonts w:ascii="Garamond" w:hAnsi="Garamond"/>
                      <w:lang w:val="en-CA"/>
                    </w:rPr>
                  </w:pPr>
                  <w:r w:rsidRPr="007640E5">
                    <w:rPr>
                      <w:rFonts w:ascii="Garamond" w:hAnsi="Garamond"/>
                      <w:lang w:val="en-CA"/>
                    </w:rPr>
                    <w:t xml:space="preserve"> </w:t>
                  </w:r>
                </w:p>
              </w:tc>
            </w:tr>
            <w:tr w:rsidR="002615CA" w:rsidRPr="007640E5" w:rsidTr="00C616B7">
              <w:tc>
                <w:tcPr>
                  <w:tcW w:w="918" w:type="dxa"/>
                </w:tcPr>
                <w:p w:rsidR="002615CA" w:rsidRPr="007640E5" w:rsidRDefault="002615CA" w:rsidP="00C616B7">
                  <w:pPr>
                    <w:rPr>
                      <w:rFonts w:ascii="Garamond" w:hAnsi="Garamond"/>
                      <w:lang w:val="en-CA"/>
                    </w:rPr>
                  </w:pPr>
                </w:p>
              </w:tc>
              <w:tc>
                <w:tcPr>
                  <w:tcW w:w="1890" w:type="dxa"/>
                </w:tcPr>
                <w:p w:rsidR="002615CA" w:rsidRPr="007640E5" w:rsidRDefault="002615CA" w:rsidP="00C616B7">
                  <w:pPr>
                    <w:rPr>
                      <w:rFonts w:ascii="Garamond" w:hAnsi="Garamond"/>
                      <w:lang w:val="en-CA"/>
                    </w:rPr>
                  </w:pPr>
                  <w:r w:rsidRPr="007640E5">
                    <w:rPr>
                      <w:rFonts w:ascii="Garamond" w:hAnsi="Garamond"/>
                      <w:lang w:val="en-CA"/>
                    </w:rPr>
                    <w:t>No</w:t>
                  </w:r>
                </w:p>
              </w:tc>
              <w:tc>
                <w:tcPr>
                  <w:tcW w:w="720" w:type="dxa"/>
                </w:tcPr>
                <w:p w:rsidR="002615CA" w:rsidRPr="007640E5" w:rsidRDefault="002615CA" w:rsidP="00C616B7">
                  <w:pPr>
                    <w:rPr>
                      <w:rFonts w:ascii="Garamond" w:hAnsi="Garamond"/>
                      <w:lang w:val="en-CA"/>
                    </w:rPr>
                  </w:pPr>
                  <w:r w:rsidRPr="007640E5">
                    <w:rPr>
                      <w:rFonts w:ascii="Garamond" w:hAnsi="Garamond"/>
                      <w:lang w:val="en-CA"/>
                    </w:rPr>
                    <w:t>0</w:t>
                  </w:r>
                </w:p>
              </w:tc>
              <w:tc>
                <w:tcPr>
                  <w:tcW w:w="6048" w:type="dxa"/>
                </w:tcPr>
                <w:p w:rsidR="002615CA" w:rsidRPr="007640E5" w:rsidRDefault="002615CA" w:rsidP="00C616B7">
                  <w:pPr>
                    <w:rPr>
                      <w:rFonts w:ascii="Garamond" w:hAnsi="Garamond"/>
                      <w:lang w:val="en-CA"/>
                    </w:rPr>
                  </w:pPr>
                  <w:r w:rsidRPr="007640E5">
                    <w:rPr>
                      <w:rFonts w:ascii="Garamond" w:hAnsi="Garamond"/>
                      <w:lang w:val="en-CA"/>
                    </w:rPr>
                    <w:t>[Go to conclusion]</w:t>
                  </w:r>
                </w:p>
              </w:tc>
            </w:tr>
          </w:tbl>
          <w:p w:rsidR="002615CA" w:rsidRPr="007640E5" w:rsidRDefault="002615CA" w:rsidP="00C616B7">
            <w:pPr>
              <w:rPr>
                <w:rFonts w:ascii="Garamond" w:hAnsi="Garamond"/>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1801"/>
              <w:gridCol w:w="694"/>
              <w:gridCol w:w="5731"/>
            </w:tblGrid>
            <w:tr w:rsidR="002615CA" w:rsidRPr="007640E5" w:rsidTr="00C616B7">
              <w:tc>
                <w:tcPr>
                  <w:tcW w:w="9576" w:type="dxa"/>
                  <w:gridSpan w:val="4"/>
                </w:tcPr>
                <w:p w:rsidR="002615CA" w:rsidRPr="007640E5" w:rsidRDefault="002615CA" w:rsidP="00C616B7">
                  <w:pPr>
                    <w:numPr>
                      <w:ilvl w:val="0"/>
                      <w:numId w:val="17"/>
                    </w:numPr>
                    <w:contextualSpacing/>
                    <w:rPr>
                      <w:rFonts w:ascii="Garamond" w:hAnsi="Garamond"/>
                      <w:lang w:val="en-CA"/>
                    </w:rPr>
                  </w:pPr>
                  <w:r w:rsidRPr="007640E5">
                    <w:rPr>
                      <w:rFonts w:ascii="Garamond" w:hAnsi="Garamond"/>
                      <w:lang w:val="en-CA"/>
                    </w:rPr>
                    <w:t xml:space="preserve">Would they be willing to answer some questions as well? If they do, they will also be entered to win a gift card. </w:t>
                  </w:r>
                </w:p>
              </w:tc>
            </w:tr>
            <w:tr w:rsidR="002615CA" w:rsidRPr="007640E5" w:rsidTr="00C616B7">
              <w:tc>
                <w:tcPr>
                  <w:tcW w:w="918" w:type="dxa"/>
                </w:tcPr>
                <w:p w:rsidR="002615CA" w:rsidRPr="007640E5" w:rsidRDefault="002615CA" w:rsidP="00C616B7">
                  <w:pPr>
                    <w:rPr>
                      <w:rFonts w:ascii="Garamond" w:hAnsi="Garamond"/>
                      <w:lang w:val="en-CA"/>
                    </w:rPr>
                  </w:pPr>
                </w:p>
              </w:tc>
              <w:tc>
                <w:tcPr>
                  <w:tcW w:w="1890" w:type="dxa"/>
                </w:tcPr>
                <w:p w:rsidR="002615CA" w:rsidRPr="007640E5" w:rsidRDefault="002615CA" w:rsidP="00C616B7">
                  <w:pPr>
                    <w:rPr>
                      <w:rFonts w:ascii="Garamond" w:hAnsi="Garamond"/>
                      <w:lang w:val="en-CA"/>
                    </w:rPr>
                  </w:pPr>
                  <w:r w:rsidRPr="007640E5">
                    <w:rPr>
                      <w:rFonts w:ascii="Garamond" w:hAnsi="Garamond"/>
                      <w:lang w:val="en-CA"/>
                    </w:rPr>
                    <w:t>Yes</w:t>
                  </w:r>
                </w:p>
              </w:tc>
              <w:tc>
                <w:tcPr>
                  <w:tcW w:w="720" w:type="dxa"/>
                </w:tcPr>
                <w:p w:rsidR="002615CA" w:rsidRPr="007640E5" w:rsidRDefault="002615CA" w:rsidP="00C616B7">
                  <w:pPr>
                    <w:rPr>
                      <w:rFonts w:ascii="Garamond" w:hAnsi="Garamond"/>
                      <w:lang w:val="en-CA"/>
                    </w:rPr>
                  </w:pPr>
                  <w:r w:rsidRPr="007640E5">
                    <w:rPr>
                      <w:rFonts w:ascii="Garamond" w:hAnsi="Garamond"/>
                      <w:lang w:val="en-CA"/>
                    </w:rPr>
                    <w:t>1</w:t>
                  </w:r>
                </w:p>
              </w:tc>
              <w:tc>
                <w:tcPr>
                  <w:tcW w:w="6048" w:type="dxa"/>
                </w:tcPr>
                <w:p w:rsidR="002615CA" w:rsidRPr="007640E5" w:rsidRDefault="002615CA" w:rsidP="00C616B7">
                  <w:pPr>
                    <w:rPr>
                      <w:rFonts w:ascii="Garamond" w:hAnsi="Garamond"/>
                      <w:lang w:val="en-CA"/>
                    </w:rPr>
                  </w:pPr>
                  <w:r w:rsidRPr="007640E5">
                    <w:rPr>
                      <w:rFonts w:ascii="Garamond" w:hAnsi="Garamond"/>
                      <w:lang w:val="en-CA"/>
                    </w:rPr>
                    <w:t>[Set callback time and take second person’s name]</w:t>
                  </w:r>
                </w:p>
              </w:tc>
            </w:tr>
            <w:tr w:rsidR="002615CA" w:rsidRPr="007640E5" w:rsidTr="00C616B7">
              <w:tc>
                <w:tcPr>
                  <w:tcW w:w="918" w:type="dxa"/>
                </w:tcPr>
                <w:p w:rsidR="002615CA" w:rsidRPr="007640E5" w:rsidRDefault="002615CA" w:rsidP="00C616B7">
                  <w:pPr>
                    <w:rPr>
                      <w:rFonts w:ascii="Garamond" w:hAnsi="Garamond"/>
                      <w:lang w:val="en-CA"/>
                    </w:rPr>
                  </w:pPr>
                </w:p>
              </w:tc>
              <w:tc>
                <w:tcPr>
                  <w:tcW w:w="1890" w:type="dxa"/>
                </w:tcPr>
                <w:p w:rsidR="002615CA" w:rsidRPr="007640E5" w:rsidRDefault="002615CA" w:rsidP="00C616B7">
                  <w:pPr>
                    <w:rPr>
                      <w:rFonts w:ascii="Garamond" w:hAnsi="Garamond"/>
                      <w:lang w:val="en-CA"/>
                    </w:rPr>
                  </w:pPr>
                  <w:r w:rsidRPr="007640E5">
                    <w:rPr>
                      <w:rFonts w:ascii="Garamond" w:hAnsi="Garamond"/>
                      <w:lang w:val="en-CA"/>
                    </w:rPr>
                    <w:t>No</w:t>
                  </w:r>
                </w:p>
              </w:tc>
              <w:tc>
                <w:tcPr>
                  <w:tcW w:w="720" w:type="dxa"/>
                </w:tcPr>
                <w:p w:rsidR="002615CA" w:rsidRPr="007640E5" w:rsidRDefault="002615CA" w:rsidP="00C616B7">
                  <w:pPr>
                    <w:rPr>
                      <w:rFonts w:ascii="Garamond" w:hAnsi="Garamond"/>
                      <w:lang w:val="en-CA"/>
                    </w:rPr>
                  </w:pPr>
                  <w:r w:rsidRPr="007640E5">
                    <w:rPr>
                      <w:rFonts w:ascii="Garamond" w:hAnsi="Garamond"/>
                      <w:lang w:val="en-CA"/>
                    </w:rPr>
                    <w:t>0</w:t>
                  </w:r>
                </w:p>
              </w:tc>
              <w:tc>
                <w:tcPr>
                  <w:tcW w:w="6048" w:type="dxa"/>
                </w:tcPr>
                <w:p w:rsidR="002615CA" w:rsidRPr="007640E5" w:rsidRDefault="002615CA" w:rsidP="00C616B7">
                  <w:pPr>
                    <w:rPr>
                      <w:rFonts w:ascii="Garamond" w:hAnsi="Garamond"/>
                      <w:lang w:val="en-CA"/>
                    </w:rPr>
                  </w:pPr>
                  <w:r w:rsidRPr="007640E5">
                    <w:rPr>
                      <w:rFonts w:ascii="Garamond" w:hAnsi="Garamond"/>
                      <w:lang w:val="en-CA"/>
                    </w:rPr>
                    <w:t>[Go to conclusion]</w:t>
                  </w:r>
                </w:p>
              </w:tc>
            </w:tr>
          </w:tbl>
          <w:p w:rsidR="002615CA" w:rsidRPr="007640E5" w:rsidRDefault="002615CA" w:rsidP="00C616B7">
            <w:pPr>
              <w:spacing w:after="240"/>
              <w:rPr>
                <w:rFonts w:ascii="Garamond" w:hAnsi="Garamond"/>
                <w:b/>
              </w:rPr>
            </w:pPr>
          </w:p>
        </w:tc>
      </w:tr>
    </w:tbl>
    <w:p w:rsidR="002615CA" w:rsidRPr="007640E5" w:rsidRDefault="002615CA" w:rsidP="002615CA">
      <w:pPr>
        <w:autoSpaceDE w:val="0"/>
        <w:autoSpaceDN w:val="0"/>
        <w:adjustRightInd w:val="0"/>
        <w:spacing w:after="240"/>
        <w:rPr>
          <w:rFonts w:ascii="Garamond" w:eastAsiaTheme="minorHAnsi" w:hAnsi="Garamond"/>
          <w:color w:val="000000"/>
          <w:lang w:val="en-CA"/>
        </w:rPr>
      </w:pPr>
    </w:p>
    <w:p w:rsidR="002615CA" w:rsidRPr="007640E5" w:rsidRDefault="002615CA" w:rsidP="002615CA">
      <w:pPr>
        <w:autoSpaceDE w:val="0"/>
        <w:autoSpaceDN w:val="0"/>
        <w:adjustRightInd w:val="0"/>
        <w:spacing w:after="240"/>
        <w:rPr>
          <w:rFonts w:ascii="Garamond" w:eastAsiaTheme="minorHAnsi" w:hAnsi="Garamond"/>
          <w:color w:val="000000"/>
          <w:lang w:val="en-CA"/>
        </w:rPr>
      </w:pPr>
      <w:r w:rsidRPr="007640E5">
        <w:rPr>
          <w:rFonts w:ascii="Garamond" w:eastAsiaTheme="minorHAnsi" w:hAnsi="Garamond"/>
          <w:color w:val="000000"/>
          <w:lang w:val="en-CA"/>
        </w:rPr>
        <w:t xml:space="preserve">The </w:t>
      </w:r>
      <w:r w:rsidR="009512EC" w:rsidRPr="007640E5">
        <w:rPr>
          <w:rFonts w:ascii="Garamond" w:eastAsiaTheme="minorHAnsi" w:hAnsi="Garamond"/>
          <w:color w:val="000000"/>
          <w:lang w:val="en-CA"/>
        </w:rPr>
        <w:t xml:space="preserve">PR </w:t>
      </w:r>
      <w:r w:rsidRPr="007640E5">
        <w:rPr>
          <w:rFonts w:ascii="Garamond" w:eastAsiaTheme="minorHAnsi" w:hAnsi="Garamond"/>
          <w:color w:val="000000"/>
          <w:lang w:val="en-CA"/>
        </w:rPr>
        <w:t>questionnaire reflected current trends in the literature in terms of asking individual</w:t>
      </w:r>
      <w:r w:rsidR="00E85200">
        <w:rPr>
          <w:rFonts w:ascii="Garamond" w:eastAsiaTheme="minorHAnsi" w:hAnsi="Garamond"/>
          <w:color w:val="000000"/>
          <w:lang w:val="en-CA"/>
        </w:rPr>
        <w:t>s</w:t>
      </w:r>
      <w:r w:rsidRPr="007640E5">
        <w:rPr>
          <w:rFonts w:ascii="Garamond" w:eastAsiaTheme="minorHAnsi" w:hAnsi="Garamond"/>
          <w:color w:val="000000"/>
          <w:lang w:val="en-CA"/>
        </w:rPr>
        <w:t xml:space="preserve"> to assess complex, hypothetical, and abstract concepts. These ideas are always difficult for respondents to manage. Accordingly, the design of survey questionnaire becomes a painstaking blend of art and science.</w:t>
      </w:r>
    </w:p>
    <w:p w:rsidR="002615CA" w:rsidRPr="007640E5" w:rsidRDefault="002615CA" w:rsidP="002615CA">
      <w:pPr>
        <w:autoSpaceDE w:val="0"/>
        <w:autoSpaceDN w:val="0"/>
        <w:adjustRightInd w:val="0"/>
        <w:spacing w:after="240"/>
        <w:rPr>
          <w:rFonts w:ascii="Garamond" w:eastAsiaTheme="minorHAnsi" w:hAnsi="Garamond"/>
          <w:color w:val="000000"/>
          <w:lang w:val="en-CA"/>
        </w:rPr>
      </w:pPr>
      <w:r w:rsidRPr="007640E5">
        <w:rPr>
          <w:rFonts w:ascii="Garamond" w:eastAsiaTheme="minorHAnsi" w:hAnsi="Garamond"/>
          <w:color w:val="000000"/>
          <w:lang w:val="en-CA"/>
        </w:rPr>
        <w:t xml:space="preserve">The pretesting of the </w:t>
      </w:r>
      <w:r w:rsidR="009512EC" w:rsidRPr="007640E5">
        <w:rPr>
          <w:rFonts w:ascii="Garamond" w:eastAsiaTheme="minorHAnsi" w:hAnsi="Garamond"/>
          <w:color w:val="000000"/>
          <w:lang w:val="en-CA"/>
        </w:rPr>
        <w:t xml:space="preserve">PR </w:t>
      </w:r>
      <w:r w:rsidRPr="007640E5">
        <w:rPr>
          <w:rFonts w:ascii="Garamond" w:eastAsiaTheme="minorHAnsi" w:hAnsi="Garamond"/>
          <w:color w:val="000000"/>
          <w:lang w:val="en-CA"/>
        </w:rPr>
        <w:t>questionnaire, involving 100 primary respondents, produced only minor changes in wording</w:t>
      </w:r>
      <w:r w:rsidR="00E85200">
        <w:rPr>
          <w:rFonts w:ascii="Garamond" w:eastAsiaTheme="minorHAnsi" w:hAnsi="Garamond"/>
          <w:color w:val="000000"/>
          <w:lang w:val="en-CA"/>
        </w:rPr>
        <w:t xml:space="preserve"> and the ordering of questions</w:t>
      </w:r>
      <w:r w:rsidRPr="007640E5">
        <w:rPr>
          <w:rFonts w:ascii="Garamond" w:eastAsiaTheme="minorHAnsi" w:hAnsi="Garamond"/>
          <w:color w:val="000000"/>
          <w:lang w:val="en-CA"/>
        </w:rPr>
        <w:t>. We tested the two questionnaires (primary and secondary respondents) to ensure comprehension at the grade 10</w:t>
      </w:r>
      <w:r w:rsidR="00E85200">
        <w:rPr>
          <w:rFonts w:ascii="Garamond" w:eastAsiaTheme="minorHAnsi" w:hAnsi="Garamond"/>
          <w:color w:val="000000"/>
          <w:lang w:val="en-CA"/>
        </w:rPr>
        <w:t xml:space="preserve"> </w:t>
      </w:r>
      <w:r w:rsidRPr="007640E5">
        <w:rPr>
          <w:rFonts w:ascii="Garamond" w:eastAsiaTheme="minorHAnsi" w:hAnsi="Garamond"/>
          <w:color w:val="000000"/>
          <w:lang w:val="en-CA"/>
        </w:rPr>
        <w:t>level using the Fleischer-Kincaid score. The primary respondent questionnaire tests at grade 7.7, while the secondary respondent questionnaire tests at grade 8.9.</w:t>
      </w:r>
    </w:p>
    <w:p w:rsidR="009512EC" w:rsidRPr="007640E5" w:rsidRDefault="009512EC" w:rsidP="002615CA">
      <w:pPr>
        <w:autoSpaceDE w:val="0"/>
        <w:autoSpaceDN w:val="0"/>
        <w:adjustRightInd w:val="0"/>
        <w:spacing w:after="240"/>
        <w:rPr>
          <w:rFonts w:ascii="Garamond" w:eastAsiaTheme="minorHAnsi" w:hAnsi="Garamond"/>
          <w:color w:val="000000"/>
          <w:lang w:val="en-CA"/>
        </w:rPr>
      </w:pPr>
      <w:r w:rsidRPr="007640E5">
        <w:rPr>
          <w:rFonts w:ascii="Garamond" w:eastAsiaTheme="minorHAnsi" w:hAnsi="Garamond"/>
          <w:color w:val="000000"/>
          <w:lang w:val="en-CA"/>
        </w:rPr>
        <w:t>The SR questionnaire followed a similar format, with the question</w:t>
      </w:r>
      <w:r w:rsidR="00E85200">
        <w:rPr>
          <w:rFonts w:ascii="Garamond" w:eastAsiaTheme="minorHAnsi" w:hAnsi="Garamond"/>
          <w:color w:val="000000"/>
          <w:lang w:val="en-CA"/>
        </w:rPr>
        <w:t>s</w:t>
      </w:r>
      <w:r w:rsidRPr="007640E5">
        <w:rPr>
          <w:rFonts w:ascii="Garamond" w:eastAsiaTheme="minorHAnsi" w:hAnsi="Garamond"/>
          <w:color w:val="000000"/>
          <w:lang w:val="en-CA"/>
        </w:rPr>
        <w:t xml:space="preserve"> modified to reflect their relationship to the PR.</w:t>
      </w:r>
    </w:p>
    <w:p w:rsidR="0082629B" w:rsidRPr="00C239D4" w:rsidRDefault="009512EC" w:rsidP="0082374E">
      <w:pPr>
        <w:keepNext/>
        <w:keepLines/>
        <w:spacing w:before="360" w:after="240"/>
        <w:outlineLvl w:val="1"/>
        <w:rPr>
          <w:rFonts w:ascii="Garamond" w:eastAsiaTheme="majorEastAsia" w:hAnsi="Garamond" w:cstheme="majorBidi"/>
          <w:b/>
          <w:bCs/>
          <w:sz w:val="28"/>
          <w:szCs w:val="28"/>
          <w:lang w:val="en-CA"/>
        </w:rPr>
      </w:pPr>
      <w:bookmarkStart w:id="9" w:name="_Toc418855639"/>
      <w:r>
        <w:rPr>
          <w:rFonts w:ascii="Garamond" w:eastAsiaTheme="majorEastAsia" w:hAnsi="Garamond" w:cstheme="majorBidi"/>
          <w:b/>
          <w:bCs/>
          <w:sz w:val="28"/>
          <w:szCs w:val="28"/>
          <w:lang w:val="en-CA"/>
        </w:rPr>
        <w:lastRenderedPageBreak/>
        <w:t xml:space="preserve">Using CV to estimate the perceived value of avoiding </w:t>
      </w:r>
      <w:r w:rsidR="0082629B" w:rsidRPr="00C239D4">
        <w:rPr>
          <w:rFonts w:ascii="Garamond" w:eastAsiaTheme="majorEastAsia" w:hAnsi="Garamond" w:cstheme="majorBidi"/>
          <w:b/>
          <w:bCs/>
          <w:sz w:val="28"/>
          <w:szCs w:val="28"/>
          <w:lang w:val="en-CA"/>
        </w:rPr>
        <w:t>workplace accidents</w:t>
      </w:r>
      <w:bookmarkEnd w:id="9"/>
      <w:r>
        <w:rPr>
          <w:rFonts w:ascii="Garamond" w:eastAsiaTheme="majorEastAsia" w:hAnsi="Garamond" w:cstheme="majorBidi"/>
          <w:b/>
          <w:bCs/>
          <w:sz w:val="28"/>
          <w:szCs w:val="28"/>
          <w:lang w:val="en-CA"/>
        </w:rPr>
        <w:t xml:space="preserve"> after the fact</w:t>
      </w:r>
    </w:p>
    <w:p w:rsidR="0082629B" w:rsidRPr="007640E5" w:rsidRDefault="0082629B" w:rsidP="0082629B">
      <w:pPr>
        <w:spacing w:after="240"/>
        <w:ind w:right="-90"/>
        <w:rPr>
          <w:rFonts w:ascii="Garamond" w:hAnsi="Garamond"/>
          <w:lang w:val="en-CA"/>
        </w:rPr>
      </w:pPr>
      <w:r w:rsidRPr="007640E5">
        <w:rPr>
          <w:rFonts w:ascii="Garamond" w:hAnsi="Garamond"/>
          <w:lang w:val="en-CA"/>
        </w:rPr>
        <w:t>The challenge for this study is to place a mone</w:t>
      </w:r>
      <w:r w:rsidR="00E85200">
        <w:rPr>
          <w:rFonts w:ascii="Garamond" w:hAnsi="Garamond"/>
          <w:lang w:val="en-CA"/>
        </w:rPr>
        <w:t>tar</w:t>
      </w:r>
      <w:r w:rsidRPr="007640E5">
        <w:rPr>
          <w:rFonts w:ascii="Garamond" w:hAnsi="Garamond"/>
          <w:lang w:val="en-CA"/>
        </w:rPr>
        <w:t>y value on the intangible costs of a workplace injury from the perspective of the injured worker (primary respondent) and their carer (secondary respondent). This requires the respondent to collect “in memory” all aspects of the injury, tangible and intangible. Figure 1 presents the structure of dichotomous choice bid used for this study.</w:t>
      </w:r>
    </w:p>
    <w:p w:rsidR="009C0CA4" w:rsidRPr="007640E5" w:rsidRDefault="009C0CA4" w:rsidP="009C0CA4">
      <w:pPr>
        <w:spacing w:after="240"/>
        <w:rPr>
          <w:rFonts w:ascii="Garamond" w:hAnsi="Garamond"/>
          <w:lang w:val="en-CA"/>
        </w:rPr>
      </w:pPr>
      <w:r w:rsidRPr="007640E5">
        <w:rPr>
          <w:rFonts w:ascii="Garamond" w:hAnsi="Garamond"/>
          <w:lang w:val="en-CA"/>
        </w:rPr>
        <w:t>To move beyond the simple financial summation of WCB and workers’ out-of-pocket costs, requires that a valuation be placed on a complex idea — how much would</w:t>
      </w:r>
      <w:r w:rsidR="00972B06" w:rsidRPr="007640E5">
        <w:rPr>
          <w:rFonts w:ascii="Garamond" w:hAnsi="Garamond"/>
          <w:lang w:val="en-CA"/>
        </w:rPr>
        <w:t xml:space="preserve"> </w:t>
      </w:r>
      <w:r w:rsidRPr="007640E5">
        <w:rPr>
          <w:rFonts w:ascii="Garamond" w:hAnsi="Garamond"/>
          <w:lang w:val="en-CA"/>
        </w:rPr>
        <w:t>the worker be willing to pay to re</w:t>
      </w:r>
      <w:r w:rsidR="00D13213">
        <w:rPr>
          <w:rFonts w:ascii="Garamond" w:hAnsi="Garamond"/>
          <w:lang w:val="en-CA"/>
        </w:rPr>
        <w:t>verse</w:t>
      </w:r>
      <w:r w:rsidRPr="007640E5">
        <w:rPr>
          <w:rFonts w:ascii="Garamond" w:hAnsi="Garamond"/>
          <w:lang w:val="en-CA"/>
        </w:rPr>
        <w:t xml:space="preserve"> the accident. In effect, we are asking the worker to purchase insurance that would compensate him or her for the accident. This insurance would cover not only the financial losses, but the “pain and suffering” triggered by the injury.</w:t>
      </w:r>
    </w:p>
    <w:p w:rsidR="009C0CA4" w:rsidRPr="007640E5" w:rsidRDefault="00D13213" w:rsidP="009C0CA4">
      <w:pPr>
        <w:spacing w:after="240"/>
        <w:rPr>
          <w:rFonts w:ascii="Garamond" w:hAnsi="Garamond"/>
          <w:lang w:val="en-CA"/>
        </w:rPr>
      </w:pPr>
      <w:r>
        <w:rPr>
          <w:rFonts w:ascii="Garamond" w:hAnsi="Garamond"/>
          <w:lang w:val="en-CA"/>
        </w:rPr>
        <w:t>T</w:t>
      </w:r>
      <w:r w:rsidR="009C0CA4" w:rsidRPr="007640E5">
        <w:rPr>
          <w:rFonts w:ascii="Garamond" w:hAnsi="Garamond"/>
          <w:lang w:val="en-CA"/>
        </w:rPr>
        <w:t xml:space="preserve">he core question </w:t>
      </w:r>
      <w:r w:rsidR="00E85200">
        <w:rPr>
          <w:rFonts w:ascii="Garamond" w:hAnsi="Garamond"/>
          <w:lang w:val="en-CA"/>
        </w:rPr>
        <w:t>is framed</w:t>
      </w:r>
      <w:r w:rsidR="009C0CA4" w:rsidRPr="007640E5">
        <w:rPr>
          <w:rFonts w:ascii="Garamond" w:hAnsi="Garamond"/>
          <w:lang w:val="en-CA"/>
        </w:rPr>
        <w:t xml:space="preserve"> </w:t>
      </w:r>
      <w:r w:rsidR="00E85200">
        <w:rPr>
          <w:rFonts w:ascii="Garamond" w:hAnsi="Garamond"/>
          <w:lang w:val="en-CA"/>
        </w:rPr>
        <w:t xml:space="preserve">on the survey questionnaire </w:t>
      </w:r>
      <w:r w:rsidR="009C0CA4" w:rsidRPr="007640E5">
        <w:rPr>
          <w:rFonts w:ascii="Garamond" w:hAnsi="Garamond"/>
          <w:lang w:val="en-CA"/>
        </w:rPr>
        <w:t>as</w:t>
      </w:r>
      <w:r>
        <w:rPr>
          <w:rFonts w:ascii="Garamond" w:hAnsi="Garamond"/>
          <w:lang w:val="en-CA"/>
        </w:rPr>
        <w:t xml:space="preserve"> follows</w:t>
      </w:r>
      <w:r w:rsidR="009C0CA4" w:rsidRPr="007640E5">
        <w:rPr>
          <w:rFonts w:ascii="Garamond" w:hAnsi="Garamond"/>
          <w:lang w:val="en-CA"/>
        </w:rPr>
        <w:t>:</w:t>
      </w:r>
      <w:r w:rsidR="00967C20">
        <w:rPr>
          <w:rStyle w:val="FootnoteReference"/>
          <w:rFonts w:ascii="Garamond" w:hAnsi="Garamond"/>
          <w:lang w:val="en-CA"/>
        </w:rPr>
        <w:footnoteReference w:id="6"/>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9314"/>
      </w:tblGrid>
      <w:tr w:rsidR="009C0CA4" w:rsidRPr="007640E5" w:rsidTr="00C616B7">
        <w:tc>
          <w:tcPr>
            <w:tcW w:w="9378" w:type="dxa"/>
          </w:tcPr>
          <w:p w:rsidR="009C0CA4" w:rsidRPr="007640E5" w:rsidRDefault="009C0CA4" w:rsidP="00C616B7">
            <w:pPr>
              <w:rPr>
                <w:rFonts w:ascii="Garamond" w:hAnsi="Garamond" w:cs="Arial"/>
                <w:b/>
                <w:lang w:val="en-CA"/>
              </w:rPr>
            </w:pPr>
            <w:r w:rsidRPr="007640E5">
              <w:rPr>
                <w:rFonts w:ascii="Garamond" w:hAnsi="Garamond" w:cs="Arial"/>
                <w:b/>
                <w:lang w:val="en-CA"/>
              </w:rPr>
              <w:t>Primary respondent:</w:t>
            </w:r>
          </w:p>
          <w:p w:rsidR="009C0CA4" w:rsidRPr="007640E5" w:rsidRDefault="009C0CA4" w:rsidP="00C616B7">
            <w:pPr>
              <w:rPr>
                <w:rFonts w:ascii="Garamond" w:eastAsiaTheme="minorHAnsi" w:hAnsi="Garamond" w:cs="Arial"/>
                <w:lang w:val="en-CA"/>
              </w:rPr>
            </w:pPr>
            <w:r w:rsidRPr="007640E5">
              <w:rPr>
                <w:rFonts w:ascii="Garamond" w:eastAsiaTheme="minorHAnsi" w:hAnsi="Garamond" w:cs="Arial"/>
                <w:lang w:val="en-CA"/>
              </w:rPr>
              <w:t>Knowing what you now know about the injury and recovery process that you had to go through, I would like you to think back to the time when you were first injured. Imagine that immediately after, someone offered you a quick and painless treatment that would let you recover immediately and avoid all of the necessary recovery time actually required for your injury. With this treatment, you would be able to avoid all the changes that occurred in your own life as a result of the injury.</w:t>
            </w:r>
          </w:p>
        </w:tc>
      </w:tr>
    </w:tbl>
    <w:p w:rsidR="009C0CA4" w:rsidRPr="007640E5" w:rsidRDefault="009C0CA4" w:rsidP="009C0CA4">
      <w:pPr>
        <w:rPr>
          <w:rFonts w:ascii="Garamond" w:hAnsi="Garamond"/>
          <w:lang w:val="en-CA"/>
        </w:rPr>
      </w:pPr>
    </w:p>
    <w:p w:rsidR="009C0CA4" w:rsidRPr="007640E5" w:rsidRDefault="009C0CA4" w:rsidP="009C0CA4">
      <w:pPr>
        <w:rPr>
          <w:rFonts w:ascii="Garamond" w:hAnsi="Garamond"/>
          <w:lang w:val="en-CA"/>
        </w:rPr>
      </w:pPr>
      <w:r w:rsidRPr="007640E5">
        <w:rPr>
          <w:rFonts w:ascii="Garamond" w:hAnsi="Garamond"/>
          <w:lang w:val="en-CA"/>
        </w:rPr>
        <w:t>The question for the secondary respondent is a little more involved</w:t>
      </w:r>
    </w:p>
    <w:p w:rsidR="009C0CA4" w:rsidRPr="007640E5" w:rsidRDefault="009C0CA4" w:rsidP="009C0CA4">
      <w:pPr>
        <w:rPr>
          <w:rFonts w:ascii="Garamond" w:hAnsi="Garamond"/>
          <w:lang w:val="en-CA"/>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9314"/>
      </w:tblGrid>
      <w:tr w:rsidR="009C0CA4" w:rsidRPr="007640E5" w:rsidTr="00C616B7">
        <w:tc>
          <w:tcPr>
            <w:tcW w:w="9378" w:type="dxa"/>
          </w:tcPr>
          <w:p w:rsidR="009C0CA4" w:rsidRPr="007640E5" w:rsidRDefault="009C0CA4" w:rsidP="00C616B7">
            <w:pPr>
              <w:rPr>
                <w:rFonts w:ascii="Garamond" w:hAnsi="Garamond" w:cs="Arial"/>
                <w:b/>
                <w:lang w:val="en-CA"/>
              </w:rPr>
            </w:pPr>
            <w:r w:rsidRPr="007640E5">
              <w:rPr>
                <w:rFonts w:ascii="Garamond" w:hAnsi="Garamond" w:cs="Arial"/>
                <w:b/>
                <w:lang w:val="en-CA"/>
              </w:rPr>
              <w:t xml:space="preserve">Secondary respondent: </w:t>
            </w:r>
          </w:p>
          <w:p w:rsidR="009C0CA4" w:rsidRPr="007640E5" w:rsidRDefault="009C0CA4" w:rsidP="00C616B7">
            <w:pPr>
              <w:rPr>
                <w:rFonts w:ascii="Garamond" w:eastAsiaTheme="minorHAnsi" w:hAnsi="Garamond" w:cs="Arial"/>
                <w:lang w:val="en-CA"/>
              </w:rPr>
            </w:pPr>
            <w:r w:rsidRPr="007640E5">
              <w:rPr>
                <w:rFonts w:ascii="Garamond" w:eastAsiaTheme="minorHAnsi" w:hAnsi="Garamond" w:cs="Arial"/>
                <w:lang w:val="en-CA"/>
              </w:rPr>
              <w:t>Knowing what you now know about [name of</w:t>
            </w:r>
            <w:r w:rsidRPr="007640E5">
              <w:rPr>
                <w:rFonts w:ascii="Garamond" w:eastAsiaTheme="minorHAnsi" w:hAnsi="Garamond" w:cs="Arial"/>
                <w:b/>
                <w:i/>
                <w:lang w:val="en-CA"/>
              </w:rPr>
              <w:t xml:space="preserve"> primary respondent</w:t>
            </w:r>
            <w:r w:rsidRPr="007640E5">
              <w:rPr>
                <w:rFonts w:ascii="Garamond" w:eastAsiaTheme="minorHAnsi" w:hAnsi="Garamond" w:cs="Arial"/>
                <w:lang w:val="en-CA"/>
              </w:rPr>
              <w:t>]’s injury and what you had to go through afterward, I would like you to think back to the time when the injury happened. Imagine that immediately after, someone offered a quick and painless treatment that would let [name of</w:t>
            </w:r>
            <w:r w:rsidRPr="007640E5">
              <w:rPr>
                <w:rFonts w:ascii="Garamond" w:eastAsiaTheme="minorHAnsi" w:hAnsi="Garamond" w:cs="Arial"/>
                <w:b/>
                <w:i/>
                <w:lang w:val="en-CA"/>
              </w:rPr>
              <w:t xml:space="preserve"> primary respondent</w:t>
            </w:r>
            <w:r w:rsidRPr="007640E5">
              <w:rPr>
                <w:rFonts w:ascii="Garamond" w:eastAsiaTheme="minorHAnsi" w:hAnsi="Garamond" w:cs="Arial"/>
                <w:lang w:val="en-CA"/>
              </w:rPr>
              <w:t xml:space="preserve">] recover immediately and avoid all of the necessary recovery time actually required for the injury. With this treatment, you would be able to avoid all the changes that occurred in your own life as a result of the injury. </w:t>
            </w:r>
          </w:p>
        </w:tc>
      </w:tr>
    </w:tbl>
    <w:p w:rsidR="009C0CA4" w:rsidRPr="00C239D4" w:rsidRDefault="009C0CA4" w:rsidP="009C0CA4">
      <w:pPr>
        <w:rPr>
          <w:rFonts w:ascii="Garamond" w:hAnsi="Garamond"/>
          <w:sz w:val="28"/>
          <w:szCs w:val="28"/>
          <w:lang w:val="en-CA"/>
        </w:rPr>
      </w:pPr>
    </w:p>
    <w:p w:rsidR="009C0CA4" w:rsidRPr="007640E5" w:rsidRDefault="009C0CA4" w:rsidP="009C0CA4">
      <w:pPr>
        <w:rPr>
          <w:rFonts w:ascii="Garamond" w:hAnsi="Garamond"/>
          <w:lang w:val="en-CA"/>
        </w:rPr>
      </w:pPr>
      <w:r w:rsidRPr="00D64264">
        <w:rPr>
          <w:rFonts w:ascii="Garamond" w:hAnsi="Garamond"/>
          <w:lang w:val="en-CA"/>
        </w:rPr>
        <w:t>We</w:t>
      </w:r>
      <w:r w:rsidRPr="00E85200">
        <w:rPr>
          <w:rFonts w:ascii="Garamond" w:hAnsi="Garamond"/>
          <w:lang w:val="en-CA"/>
        </w:rPr>
        <w:t xml:space="preserve"> </w:t>
      </w:r>
      <w:r w:rsidRPr="007640E5">
        <w:rPr>
          <w:rFonts w:ascii="Garamond" w:hAnsi="Garamond"/>
          <w:lang w:val="en-CA"/>
        </w:rPr>
        <w:t>normed this payment to a percentage of the respondent</w:t>
      </w:r>
      <w:r w:rsidR="00E85200">
        <w:rPr>
          <w:rFonts w:ascii="Garamond" w:hAnsi="Garamond"/>
          <w:lang w:val="en-CA"/>
        </w:rPr>
        <w:t>’</w:t>
      </w:r>
      <w:r w:rsidRPr="007640E5">
        <w:rPr>
          <w:rFonts w:ascii="Garamond" w:hAnsi="Garamond"/>
          <w:lang w:val="en-CA"/>
        </w:rPr>
        <w:t>s weekly income, which we presented to the respondent again.  The process used 10%</w:t>
      </w:r>
      <w:r w:rsidR="00E85200">
        <w:rPr>
          <w:rFonts w:ascii="Garamond" w:hAnsi="Garamond"/>
          <w:lang w:val="en-CA"/>
        </w:rPr>
        <w:t xml:space="preserve"> of their weekly income</w:t>
      </w:r>
      <w:r w:rsidRPr="007640E5">
        <w:rPr>
          <w:rFonts w:ascii="Garamond" w:hAnsi="Garamond"/>
          <w:lang w:val="en-CA"/>
        </w:rPr>
        <w:t xml:space="preserve"> as the first “price”, then those that said “yes” were tested with 15% and those that said “no” were tested with 5%. Those that said “no” throughout </w:t>
      </w:r>
      <w:r w:rsidR="00D23FBD">
        <w:rPr>
          <w:rFonts w:ascii="Garamond" w:hAnsi="Garamond"/>
          <w:lang w:val="en-CA"/>
        </w:rPr>
        <w:t xml:space="preserve">or “yes” throughout </w:t>
      </w:r>
      <w:r w:rsidRPr="007640E5">
        <w:rPr>
          <w:rFonts w:ascii="Garamond" w:hAnsi="Garamond"/>
          <w:lang w:val="en-CA"/>
        </w:rPr>
        <w:t xml:space="preserve">were </w:t>
      </w:r>
      <w:r w:rsidR="00D23FBD">
        <w:rPr>
          <w:rFonts w:ascii="Garamond" w:hAnsi="Garamond"/>
          <w:lang w:val="en-CA"/>
        </w:rPr>
        <w:t>asked to identify the highest amount they would be willing to pay</w:t>
      </w:r>
      <w:r w:rsidRPr="007640E5">
        <w:rPr>
          <w:rFonts w:ascii="Garamond" w:hAnsi="Garamond"/>
          <w:lang w:val="en-CA"/>
        </w:rPr>
        <w:t>.</w:t>
      </w:r>
      <w:r w:rsidR="001D2BB0">
        <w:rPr>
          <w:rFonts w:ascii="Garamond" w:hAnsi="Garamond"/>
          <w:lang w:val="en-CA"/>
        </w:rPr>
        <w:t xml:space="preserve"> Those who agreed to 15% were prompted for an offer higher and those that refused at 10% and 5% of income, were also prompted for an offer.</w:t>
      </w:r>
    </w:p>
    <w:p w:rsidR="009C0CA4" w:rsidRPr="007640E5" w:rsidRDefault="009C0CA4" w:rsidP="009C0CA4">
      <w:pPr>
        <w:rPr>
          <w:rFonts w:ascii="Garamond" w:hAnsi="Garamond"/>
          <w:lang w:val="en-CA"/>
        </w:rPr>
      </w:pPr>
    </w:p>
    <w:p w:rsidR="009C0CA4" w:rsidRPr="00C239D4" w:rsidRDefault="009C0CA4" w:rsidP="0082629B">
      <w:pPr>
        <w:spacing w:after="240"/>
        <w:ind w:right="-90"/>
        <w:rPr>
          <w:rFonts w:ascii="Garamond" w:hAnsi="Garamond"/>
          <w:sz w:val="28"/>
          <w:szCs w:val="28"/>
          <w:lang w:val="en-CA"/>
        </w:rPr>
      </w:pPr>
    </w:p>
    <w:p w:rsidR="0082629B" w:rsidRPr="00C239D4" w:rsidRDefault="001D2BB0" w:rsidP="0082629B">
      <w:pPr>
        <w:jc w:val="center"/>
        <w:rPr>
          <w:rFonts w:ascii="Garamond" w:hAnsi="Garamond"/>
          <w:sz w:val="28"/>
          <w:szCs w:val="28"/>
          <w:lang w:val="en-CA"/>
        </w:rPr>
      </w:pPr>
      <w:r>
        <w:rPr>
          <w:rFonts w:ascii="Garamond" w:hAnsi="Garamond"/>
          <w:noProof/>
          <w:sz w:val="28"/>
          <w:szCs w:val="28"/>
          <w:lang w:val="en-CA" w:eastAsia="en-CA"/>
        </w:rPr>
        <w:lastRenderedPageBreak/>
        <w:drawing>
          <wp:inline distT="0" distB="0" distL="0" distR="0" wp14:anchorId="2BCAB29A" wp14:editId="1A328A86">
            <wp:extent cx="5147515" cy="61940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 of CV.emf"/>
                    <pic:cNvPicPr/>
                  </pic:nvPicPr>
                  <pic:blipFill>
                    <a:blip r:embed="rId8">
                      <a:extLst>
                        <a:ext uri="{28A0092B-C50C-407E-A947-70E740481C1C}">
                          <a14:useLocalDpi xmlns:a14="http://schemas.microsoft.com/office/drawing/2010/main" val="0"/>
                        </a:ext>
                      </a:extLst>
                    </a:blip>
                    <a:stretch>
                      <a:fillRect/>
                    </a:stretch>
                  </pic:blipFill>
                  <pic:spPr>
                    <a:xfrm>
                      <a:off x="0" y="0"/>
                      <a:ext cx="5150238" cy="6197343"/>
                    </a:xfrm>
                    <a:prstGeom prst="rect">
                      <a:avLst/>
                    </a:prstGeom>
                  </pic:spPr>
                </pic:pic>
              </a:graphicData>
            </a:graphic>
          </wp:inline>
        </w:drawing>
      </w:r>
    </w:p>
    <w:p w:rsidR="0082629B" w:rsidRPr="00C239D4" w:rsidRDefault="0082629B" w:rsidP="0082629B">
      <w:pPr>
        <w:jc w:val="center"/>
        <w:rPr>
          <w:rFonts w:ascii="Garamond" w:hAnsi="Garamond" w:cs="Arial"/>
          <w:b/>
          <w:sz w:val="28"/>
          <w:szCs w:val="28"/>
          <w:lang w:val="en-CA"/>
        </w:rPr>
      </w:pPr>
    </w:p>
    <w:p w:rsidR="0082629B" w:rsidRPr="00C239D4" w:rsidRDefault="0082629B" w:rsidP="0082629B">
      <w:pPr>
        <w:jc w:val="center"/>
        <w:rPr>
          <w:rFonts w:ascii="Garamond" w:hAnsi="Garamond" w:cs="Arial"/>
          <w:b/>
          <w:sz w:val="28"/>
          <w:szCs w:val="28"/>
          <w:lang w:val="en-CA"/>
        </w:rPr>
      </w:pPr>
      <w:r w:rsidRPr="00C239D4">
        <w:rPr>
          <w:rFonts w:ascii="Garamond" w:hAnsi="Garamond" w:cs="Arial"/>
          <w:b/>
          <w:sz w:val="28"/>
          <w:szCs w:val="28"/>
          <w:lang w:val="en-CA"/>
        </w:rPr>
        <w:t>Figure 1: The structure of the CV</w:t>
      </w:r>
      <w:r w:rsidR="009C0CA4">
        <w:rPr>
          <w:rFonts w:ascii="Garamond" w:hAnsi="Garamond" w:cs="Arial"/>
          <w:b/>
          <w:sz w:val="28"/>
          <w:szCs w:val="28"/>
          <w:lang w:val="en-CA"/>
        </w:rPr>
        <w:t xml:space="preserve"> – Primary respondent</w:t>
      </w:r>
    </w:p>
    <w:p w:rsidR="0082629B" w:rsidRPr="00C239D4" w:rsidRDefault="0082629B" w:rsidP="0082629B">
      <w:pPr>
        <w:rPr>
          <w:rFonts w:ascii="Garamond" w:hAnsi="Garamond"/>
          <w:sz w:val="28"/>
          <w:szCs w:val="28"/>
          <w:lang w:val="en-CA"/>
        </w:rPr>
      </w:pPr>
    </w:p>
    <w:p w:rsidR="0082629B" w:rsidRPr="007640E5" w:rsidRDefault="0082629B" w:rsidP="0082629B">
      <w:pPr>
        <w:autoSpaceDE w:val="0"/>
        <w:autoSpaceDN w:val="0"/>
        <w:adjustRightInd w:val="0"/>
        <w:spacing w:after="240"/>
        <w:rPr>
          <w:rFonts w:ascii="Garamond" w:hAnsi="Garamond"/>
          <w:lang w:val="en-CA"/>
        </w:rPr>
      </w:pPr>
      <w:r w:rsidRPr="007640E5">
        <w:rPr>
          <w:rFonts w:ascii="Garamond" w:hAnsi="Garamond"/>
          <w:lang w:val="en-CA"/>
        </w:rPr>
        <w:t>Anchoring the starting point to actual pre-accident salary is important, since this implicitly norms the questions to ability to pay. Respondents could offer their own valuation, but the conditioning of these open-ended responses by the two prior questions to which the respondent had replied serve</w:t>
      </w:r>
      <w:r w:rsidR="00D23FBD">
        <w:rPr>
          <w:rFonts w:ascii="Garamond" w:hAnsi="Garamond"/>
          <w:lang w:val="en-CA"/>
        </w:rPr>
        <w:t>d</w:t>
      </w:r>
      <w:r w:rsidRPr="007640E5">
        <w:rPr>
          <w:rFonts w:ascii="Garamond" w:hAnsi="Garamond"/>
          <w:lang w:val="en-CA"/>
        </w:rPr>
        <w:t xml:space="preserve"> to anchored responses to the weekly income of the worker. Secondary respondents re</w:t>
      </w:r>
      <w:r w:rsidR="007640E5">
        <w:rPr>
          <w:rFonts w:ascii="Garamond" w:hAnsi="Garamond"/>
          <w:lang w:val="en-CA"/>
        </w:rPr>
        <w:t xml:space="preserve">sponded to </w:t>
      </w:r>
      <w:r w:rsidR="007640E5" w:rsidRPr="007640E5">
        <w:rPr>
          <w:rFonts w:ascii="Garamond" w:hAnsi="Garamond"/>
          <w:lang w:val="en-CA"/>
        </w:rPr>
        <w:t>a similar sequence of questions.</w:t>
      </w:r>
      <w:r w:rsidR="00D23FBD">
        <w:rPr>
          <w:rFonts w:ascii="Garamond" w:hAnsi="Garamond"/>
          <w:lang w:val="en-CA"/>
        </w:rPr>
        <w:t xml:space="preserve"> However, the WTP question for the secondary respondents was based on total household income, since many secondary respondents had no salary of their own to anchor their response.</w:t>
      </w:r>
    </w:p>
    <w:p w:rsidR="0082629B" w:rsidRPr="00C239D4" w:rsidRDefault="0082629B" w:rsidP="009C0CA4">
      <w:pPr>
        <w:pStyle w:val="Heading2"/>
        <w:numPr>
          <w:ilvl w:val="0"/>
          <w:numId w:val="0"/>
        </w:numPr>
        <w:rPr>
          <w:rFonts w:ascii="Garamond" w:hAnsi="Garamond"/>
          <w:sz w:val="28"/>
          <w:szCs w:val="28"/>
          <w:lang w:val="en-CA"/>
        </w:rPr>
      </w:pPr>
      <w:bookmarkStart w:id="10" w:name="_Toc418855652"/>
      <w:r w:rsidRPr="00C239D4">
        <w:rPr>
          <w:rFonts w:ascii="Garamond" w:hAnsi="Garamond"/>
          <w:sz w:val="28"/>
          <w:szCs w:val="28"/>
          <w:lang w:val="en-CA"/>
        </w:rPr>
        <w:lastRenderedPageBreak/>
        <w:t>Willingness to pay – primary respondents</w:t>
      </w:r>
      <w:bookmarkEnd w:id="10"/>
    </w:p>
    <w:p w:rsidR="0082629B" w:rsidRPr="00C239D4" w:rsidRDefault="0082629B" w:rsidP="0082629B">
      <w:pPr>
        <w:rPr>
          <w:rFonts w:ascii="Garamond" w:hAnsi="Garamond"/>
          <w:sz w:val="28"/>
          <w:szCs w:val="28"/>
          <w:lang w:val="en-CA"/>
        </w:rPr>
      </w:pPr>
      <w:r w:rsidRPr="007640E5">
        <w:rPr>
          <w:rFonts w:ascii="Garamond" w:hAnsi="Garamond"/>
          <w:lang w:val="en-CA"/>
        </w:rPr>
        <w:t xml:space="preserve">Many primary respondents would be willing to pay certain amounts out of their annual income for 10 years to avoid the accident. Although not strictly an insurance plan, it does represent a </w:t>
      </w:r>
      <w:r w:rsidRPr="007640E5">
        <w:rPr>
          <w:rFonts w:ascii="Garamond" w:hAnsi="Garamond"/>
          <w:i/>
          <w:lang w:val="en-CA"/>
        </w:rPr>
        <w:t>retrospective valuation</w:t>
      </w:r>
      <w:r w:rsidRPr="007640E5">
        <w:rPr>
          <w:rFonts w:ascii="Garamond" w:hAnsi="Garamond"/>
          <w:lang w:val="en-CA"/>
        </w:rPr>
        <w:t xml:space="preserve"> of the pain and dislocation experienced with the injury. </w:t>
      </w:r>
      <w:r w:rsidRPr="007640E5">
        <w:rPr>
          <w:rFonts w:ascii="Garamond" w:hAnsi="Garamond"/>
          <w:lang w:val="en-CA"/>
        </w:rPr>
        <w:fldChar w:fldCharType="begin"/>
      </w:r>
      <w:r w:rsidRPr="007640E5">
        <w:rPr>
          <w:rFonts w:ascii="Garamond" w:hAnsi="Garamond"/>
          <w:lang w:val="en-CA"/>
        </w:rPr>
        <w:instrText xml:space="preserve"> REF _Ref418662554 \h  \* MERGEFORMAT </w:instrText>
      </w:r>
      <w:r w:rsidRPr="007640E5">
        <w:rPr>
          <w:rFonts w:ascii="Garamond" w:hAnsi="Garamond"/>
          <w:lang w:val="en-CA"/>
        </w:rPr>
      </w:r>
      <w:r w:rsidRPr="007640E5">
        <w:rPr>
          <w:rFonts w:ascii="Garamond" w:hAnsi="Garamond"/>
          <w:lang w:val="en-CA"/>
        </w:rPr>
        <w:fldChar w:fldCharType="separate"/>
      </w:r>
      <w:r w:rsidR="00AF72C2" w:rsidRPr="00AF72C2">
        <w:rPr>
          <w:rFonts w:ascii="Garamond" w:hAnsi="Garamond"/>
          <w:lang w:val="en-CA"/>
        </w:rPr>
        <w:t>Table 3</w:t>
      </w:r>
      <w:r w:rsidRPr="007640E5">
        <w:rPr>
          <w:rFonts w:ascii="Garamond" w:hAnsi="Garamond"/>
          <w:lang w:val="en-CA"/>
        </w:rPr>
        <w:fldChar w:fldCharType="end"/>
      </w:r>
      <w:r w:rsidR="00D23FBD">
        <w:rPr>
          <w:rFonts w:ascii="Garamond" w:hAnsi="Garamond"/>
          <w:lang w:val="en-CA"/>
        </w:rPr>
        <w:t xml:space="preserve"> </w:t>
      </w:r>
      <w:r w:rsidRPr="007640E5">
        <w:rPr>
          <w:rFonts w:ascii="Garamond" w:hAnsi="Garamond"/>
          <w:lang w:val="en-CA"/>
        </w:rPr>
        <w:t>shows the responses to the offer in the questionnaire</w:t>
      </w:r>
      <w:r w:rsidRPr="00C239D4">
        <w:rPr>
          <w:rFonts w:ascii="Garamond" w:hAnsi="Garamond"/>
          <w:sz w:val="28"/>
          <w:szCs w:val="28"/>
          <w:lang w:val="en-CA"/>
        </w:rPr>
        <w:t>.</w:t>
      </w:r>
    </w:p>
    <w:p w:rsidR="0082629B" w:rsidRPr="00C239D4" w:rsidRDefault="0082629B" w:rsidP="0082629B">
      <w:pPr>
        <w:rPr>
          <w:rFonts w:ascii="Garamond" w:hAnsi="Garamond"/>
          <w:sz w:val="28"/>
          <w:szCs w:val="28"/>
          <w:lang w:val="en-CA"/>
        </w:rPr>
      </w:pPr>
    </w:p>
    <w:tbl>
      <w:tblPr>
        <w:tblW w:w="0" w:type="auto"/>
        <w:jc w:val="center"/>
        <w:tblLayout w:type="fixed"/>
        <w:tblLook w:val="0000" w:firstRow="0" w:lastRow="0" w:firstColumn="0" w:lastColumn="0" w:noHBand="0" w:noVBand="0"/>
      </w:tblPr>
      <w:tblGrid>
        <w:gridCol w:w="2373"/>
        <w:gridCol w:w="2235"/>
        <w:gridCol w:w="2274"/>
      </w:tblGrid>
      <w:tr w:rsidR="0082629B" w:rsidRPr="00AF72C2" w:rsidTr="009C177B">
        <w:trPr>
          <w:jc w:val="center"/>
        </w:trPr>
        <w:tc>
          <w:tcPr>
            <w:tcW w:w="6882" w:type="dxa"/>
            <w:gridSpan w:val="3"/>
            <w:tcBorders>
              <w:top w:val="single" w:sz="4" w:space="0" w:color="auto"/>
              <w:left w:val="single" w:sz="4" w:space="0" w:color="auto"/>
              <w:bottom w:val="single" w:sz="4" w:space="0" w:color="auto"/>
              <w:right w:val="single" w:sz="4" w:space="0" w:color="auto"/>
            </w:tcBorders>
            <w:shd w:val="clear" w:color="auto" w:fill="D9D9D9"/>
          </w:tcPr>
          <w:p w:rsidR="0082629B" w:rsidRPr="00AF72C2" w:rsidRDefault="0082629B" w:rsidP="0082629B">
            <w:pPr>
              <w:rPr>
                <w:rFonts w:ascii="Garamond" w:eastAsiaTheme="minorHAnsi" w:hAnsi="Garamond" w:cs="Arial"/>
                <w:b/>
                <w:bCs/>
                <w:sz w:val="22"/>
                <w:lang w:val="en-CA"/>
              </w:rPr>
            </w:pPr>
            <w:bookmarkStart w:id="11" w:name="_Ref418662554"/>
            <w:bookmarkStart w:id="12" w:name="_Ref420520817"/>
            <w:r w:rsidRPr="00AF72C2">
              <w:rPr>
                <w:rFonts w:ascii="Garamond" w:eastAsiaTheme="minorHAnsi" w:hAnsi="Garamond" w:cs="Arial"/>
                <w:b/>
                <w:bCs/>
                <w:sz w:val="22"/>
                <w:lang w:val="en-CA"/>
              </w:rPr>
              <w:t xml:space="preserve">Table </w:t>
            </w:r>
            <w:r w:rsidRPr="00AF72C2">
              <w:rPr>
                <w:rFonts w:ascii="Garamond" w:eastAsiaTheme="minorHAnsi" w:hAnsi="Garamond" w:cs="Arial"/>
                <w:b/>
                <w:bCs/>
                <w:sz w:val="22"/>
                <w:lang w:val="en-CA"/>
              </w:rPr>
              <w:fldChar w:fldCharType="begin"/>
            </w:r>
            <w:r w:rsidRPr="00AF72C2">
              <w:rPr>
                <w:rFonts w:ascii="Garamond" w:eastAsiaTheme="minorHAnsi" w:hAnsi="Garamond" w:cs="Arial"/>
                <w:b/>
                <w:bCs/>
                <w:sz w:val="22"/>
                <w:lang w:val="en-CA"/>
              </w:rPr>
              <w:instrText xml:space="preserve"> SEQ Table \* ARABIC </w:instrText>
            </w:r>
            <w:r w:rsidRPr="00AF72C2">
              <w:rPr>
                <w:rFonts w:ascii="Garamond" w:eastAsiaTheme="minorHAnsi" w:hAnsi="Garamond" w:cs="Arial"/>
                <w:b/>
                <w:bCs/>
                <w:sz w:val="22"/>
                <w:lang w:val="en-CA"/>
              </w:rPr>
              <w:fldChar w:fldCharType="separate"/>
            </w:r>
            <w:r w:rsidR="00AF72C2" w:rsidRPr="00AF72C2">
              <w:rPr>
                <w:rFonts w:ascii="Garamond" w:eastAsiaTheme="minorHAnsi" w:hAnsi="Garamond" w:cs="Arial"/>
                <w:b/>
                <w:bCs/>
                <w:noProof/>
                <w:sz w:val="22"/>
                <w:lang w:val="en-CA"/>
              </w:rPr>
              <w:t>3</w:t>
            </w:r>
            <w:r w:rsidRPr="00AF72C2">
              <w:rPr>
                <w:rFonts w:ascii="Garamond" w:eastAsiaTheme="minorHAnsi" w:hAnsi="Garamond" w:cs="Arial"/>
                <w:b/>
                <w:bCs/>
                <w:sz w:val="22"/>
                <w:lang w:val="en-CA"/>
              </w:rPr>
              <w:fldChar w:fldCharType="end"/>
            </w:r>
            <w:bookmarkEnd w:id="11"/>
            <w:r w:rsidRPr="00AF72C2">
              <w:rPr>
                <w:rFonts w:ascii="Garamond" w:eastAsiaTheme="minorHAnsi" w:hAnsi="Garamond" w:cs="Arial"/>
                <w:b/>
                <w:bCs/>
                <w:sz w:val="22"/>
                <w:lang w:val="en-CA"/>
              </w:rPr>
              <w:t xml:space="preserve">: </w:t>
            </w:r>
            <w:bookmarkStart w:id="13" w:name="_Ref420520843"/>
            <w:r w:rsidRPr="00AF72C2">
              <w:rPr>
                <w:rFonts w:ascii="Garamond" w:eastAsiaTheme="minorHAnsi" w:hAnsi="Garamond" w:cs="Arial"/>
                <w:b/>
                <w:bCs/>
                <w:sz w:val="22"/>
                <w:lang w:val="en-CA"/>
              </w:rPr>
              <w:t>Willingness to pay – primary respondents</w:t>
            </w:r>
            <w:bookmarkEnd w:id="12"/>
            <w:bookmarkEnd w:id="13"/>
          </w:p>
          <w:p w:rsidR="0082629B" w:rsidRPr="00AF72C2" w:rsidRDefault="0082629B" w:rsidP="00320BBF">
            <w:pPr>
              <w:rPr>
                <w:rFonts w:ascii="Garamond" w:hAnsi="Garamond" w:cs="Arial"/>
                <w:i/>
                <w:sz w:val="22"/>
                <w:lang w:val="en-CA"/>
              </w:rPr>
            </w:pPr>
            <w:r w:rsidRPr="00AF72C2">
              <w:rPr>
                <w:rFonts w:ascii="Garamond" w:hAnsi="Garamond" w:cs="Arial"/>
                <w:i/>
                <w:sz w:val="22"/>
                <w:lang w:val="en-CA"/>
              </w:rPr>
              <w:t xml:space="preserve">If the treatment cost </w:t>
            </w:r>
            <w:r w:rsidR="00320BBF" w:rsidRPr="00AF72C2">
              <w:rPr>
                <w:rFonts w:ascii="Garamond" w:hAnsi="Garamond" w:cs="Arial"/>
                <w:i/>
                <w:sz w:val="22"/>
                <w:lang w:val="en-CA"/>
              </w:rPr>
              <w:t>x%</w:t>
            </w:r>
            <w:r w:rsidRPr="00AF72C2">
              <w:rPr>
                <w:rFonts w:ascii="Garamond" w:hAnsi="Garamond" w:cs="Arial"/>
                <w:i/>
                <w:sz w:val="22"/>
                <w:lang w:val="en-CA"/>
              </w:rPr>
              <w:t>% of your annual household income for the next 10 years, would you have been willing to pay for it</w:t>
            </w:r>
            <w:r w:rsidR="00D23FBD" w:rsidRPr="00AF72C2">
              <w:rPr>
                <w:rFonts w:ascii="Garamond" w:hAnsi="Garamond" w:cs="Arial"/>
                <w:i/>
                <w:sz w:val="22"/>
                <w:lang w:val="en-CA"/>
              </w:rPr>
              <w:t>?</w:t>
            </w:r>
          </w:p>
        </w:tc>
      </w:tr>
      <w:tr w:rsidR="0082629B" w:rsidRPr="00AF72C2" w:rsidTr="009C177B">
        <w:trPr>
          <w:jc w:val="center"/>
        </w:trPr>
        <w:tc>
          <w:tcPr>
            <w:tcW w:w="2373" w:type="dxa"/>
            <w:tcBorders>
              <w:top w:val="single" w:sz="4" w:space="0" w:color="auto"/>
              <w:left w:val="single" w:sz="4" w:space="0" w:color="auto"/>
              <w:bottom w:val="single" w:sz="4" w:space="0" w:color="auto"/>
              <w:right w:val="single" w:sz="4" w:space="0" w:color="auto"/>
            </w:tcBorders>
          </w:tcPr>
          <w:p w:rsidR="0082629B" w:rsidRPr="00AF72C2" w:rsidRDefault="00D23FBD" w:rsidP="00D23FBD">
            <w:pPr>
              <w:jc w:val="center"/>
              <w:rPr>
                <w:rFonts w:ascii="Garamond" w:hAnsi="Garamond" w:cs="Arial"/>
                <w:b/>
                <w:sz w:val="22"/>
                <w:lang w:val="en-CA"/>
              </w:rPr>
            </w:pPr>
            <w:r w:rsidRPr="00AF72C2">
              <w:rPr>
                <w:rFonts w:ascii="Garamond" w:hAnsi="Garamond" w:cs="Arial"/>
                <w:b/>
                <w:sz w:val="22"/>
                <w:lang w:val="en-CA"/>
              </w:rPr>
              <w:t>Highest WTP as a p</w:t>
            </w:r>
            <w:r w:rsidR="0082629B" w:rsidRPr="00AF72C2">
              <w:rPr>
                <w:rFonts w:ascii="Garamond" w:hAnsi="Garamond" w:cs="Arial"/>
                <w:b/>
                <w:sz w:val="22"/>
                <w:lang w:val="en-CA"/>
              </w:rPr>
              <w:t>ercentage of income</w:t>
            </w:r>
            <w:r w:rsidR="00320BBF" w:rsidRPr="00AF72C2">
              <w:rPr>
                <w:rFonts w:ascii="Garamond" w:hAnsi="Garamond" w:cs="Arial"/>
                <w:b/>
                <w:sz w:val="22"/>
                <w:lang w:val="en-CA"/>
              </w:rPr>
              <w:t xml:space="preserve"> (x)</w:t>
            </w:r>
          </w:p>
        </w:tc>
        <w:tc>
          <w:tcPr>
            <w:tcW w:w="2235" w:type="dxa"/>
            <w:tcBorders>
              <w:top w:val="single" w:sz="4" w:space="0" w:color="auto"/>
              <w:left w:val="single" w:sz="4" w:space="0" w:color="auto"/>
              <w:bottom w:val="single" w:sz="4" w:space="0" w:color="auto"/>
              <w:right w:val="single" w:sz="4" w:space="0" w:color="auto"/>
            </w:tcBorders>
          </w:tcPr>
          <w:p w:rsidR="0082629B" w:rsidRPr="00AF72C2" w:rsidRDefault="0082629B" w:rsidP="0082629B">
            <w:pPr>
              <w:jc w:val="center"/>
              <w:rPr>
                <w:rFonts w:ascii="Garamond" w:hAnsi="Garamond" w:cs="Arial"/>
                <w:b/>
                <w:sz w:val="22"/>
                <w:lang w:val="en-CA"/>
              </w:rPr>
            </w:pPr>
            <w:r w:rsidRPr="00AF72C2">
              <w:rPr>
                <w:rFonts w:ascii="Garamond" w:hAnsi="Garamond" w:cs="Arial"/>
                <w:b/>
                <w:sz w:val="22"/>
                <w:lang w:val="en-CA"/>
              </w:rPr>
              <w:t>Number</w:t>
            </w:r>
          </w:p>
        </w:tc>
        <w:tc>
          <w:tcPr>
            <w:tcW w:w="2274" w:type="dxa"/>
            <w:tcBorders>
              <w:top w:val="single" w:sz="4" w:space="0" w:color="auto"/>
              <w:left w:val="single" w:sz="4" w:space="0" w:color="auto"/>
              <w:bottom w:val="single" w:sz="4" w:space="0" w:color="auto"/>
              <w:right w:val="single" w:sz="4" w:space="0" w:color="auto"/>
            </w:tcBorders>
          </w:tcPr>
          <w:p w:rsidR="0082629B" w:rsidRPr="00AF72C2" w:rsidRDefault="0082629B" w:rsidP="0082629B">
            <w:pPr>
              <w:jc w:val="center"/>
              <w:rPr>
                <w:rFonts w:ascii="Garamond" w:hAnsi="Garamond" w:cs="Arial"/>
                <w:b/>
                <w:sz w:val="22"/>
                <w:lang w:val="en-CA"/>
              </w:rPr>
            </w:pPr>
            <w:r w:rsidRPr="00AF72C2">
              <w:rPr>
                <w:rFonts w:ascii="Garamond" w:hAnsi="Garamond" w:cs="Arial"/>
                <w:b/>
                <w:sz w:val="22"/>
                <w:lang w:val="en-CA"/>
              </w:rPr>
              <w:t>Percentage</w:t>
            </w:r>
          </w:p>
        </w:tc>
      </w:tr>
      <w:tr w:rsidR="00A54E80" w:rsidRPr="00AF72C2" w:rsidTr="009C177B">
        <w:trPr>
          <w:trHeight w:val="326"/>
          <w:jc w:val="center"/>
        </w:trPr>
        <w:tc>
          <w:tcPr>
            <w:tcW w:w="2373" w:type="dxa"/>
            <w:tcBorders>
              <w:top w:val="single" w:sz="4" w:space="0" w:color="auto"/>
              <w:left w:val="single" w:sz="4" w:space="0" w:color="auto"/>
              <w:bottom w:val="single" w:sz="4" w:space="0" w:color="auto"/>
              <w:right w:val="single" w:sz="4" w:space="0" w:color="auto"/>
            </w:tcBorders>
          </w:tcPr>
          <w:p w:rsidR="00A54E80" w:rsidRPr="00AF72C2" w:rsidRDefault="00A54E80" w:rsidP="009C177B">
            <w:pPr>
              <w:rPr>
                <w:rFonts w:ascii="Garamond" w:hAnsi="Garamond" w:cs="Arial"/>
                <w:sz w:val="22"/>
                <w:lang w:val="en-CA"/>
              </w:rPr>
            </w:pPr>
            <w:r w:rsidRPr="00AF72C2">
              <w:rPr>
                <w:rFonts w:ascii="Garamond" w:hAnsi="Garamond" w:cs="Arial"/>
                <w:sz w:val="22"/>
                <w:lang w:val="en-CA"/>
              </w:rPr>
              <w:t>0</w:t>
            </w:r>
          </w:p>
        </w:tc>
        <w:tc>
          <w:tcPr>
            <w:tcW w:w="2235" w:type="dxa"/>
            <w:tcBorders>
              <w:top w:val="single" w:sz="4" w:space="0" w:color="auto"/>
              <w:left w:val="single" w:sz="4" w:space="0" w:color="auto"/>
              <w:bottom w:val="single" w:sz="4" w:space="0" w:color="auto"/>
              <w:right w:val="single" w:sz="4" w:space="0" w:color="auto"/>
            </w:tcBorders>
          </w:tcPr>
          <w:p w:rsidR="00A54E80" w:rsidRPr="00AF72C2" w:rsidRDefault="00A54E80" w:rsidP="009C177B">
            <w:pPr>
              <w:jc w:val="right"/>
              <w:rPr>
                <w:rFonts w:ascii="Garamond" w:hAnsi="Garamond"/>
                <w:color w:val="000000"/>
                <w:sz w:val="22"/>
              </w:rPr>
            </w:pPr>
            <w:r w:rsidRPr="00AF72C2">
              <w:rPr>
                <w:rFonts w:ascii="Garamond" w:hAnsi="Garamond"/>
                <w:color w:val="000000"/>
                <w:sz w:val="22"/>
              </w:rPr>
              <w:t>1120</w:t>
            </w:r>
          </w:p>
        </w:tc>
        <w:tc>
          <w:tcPr>
            <w:tcW w:w="2274" w:type="dxa"/>
            <w:tcBorders>
              <w:top w:val="single" w:sz="4" w:space="0" w:color="auto"/>
              <w:left w:val="single" w:sz="4" w:space="0" w:color="auto"/>
              <w:bottom w:val="single" w:sz="4" w:space="0" w:color="auto"/>
              <w:right w:val="single" w:sz="4" w:space="0" w:color="auto"/>
            </w:tcBorders>
          </w:tcPr>
          <w:p w:rsidR="00A54E80" w:rsidRPr="00AF72C2" w:rsidRDefault="009C177B" w:rsidP="009C177B">
            <w:pPr>
              <w:jc w:val="right"/>
              <w:rPr>
                <w:rFonts w:ascii="Garamond" w:hAnsi="Garamond" w:cs="Arial"/>
                <w:sz w:val="22"/>
                <w:lang w:val="en-CA"/>
              </w:rPr>
            </w:pPr>
            <w:r w:rsidRPr="00AF72C2">
              <w:rPr>
                <w:rFonts w:ascii="Garamond" w:hAnsi="Garamond" w:cs="Arial"/>
                <w:sz w:val="22"/>
                <w:lang w:val="en-CA"/>
              </w:rPr>
              <w:t>48.5%</w:t>
            </w:r>
          </w:p>
        </w:tc>
      </w:tr>
      <w:tr w:rsidR="00A54E80" w:rsidRPr="00AF72C2" w:rsidTr="009C177B">
        <w:trPr>
          <w:trHeight w:val="326"/>
          <w:jc w:val="center"/>
        </w:trPr>
        <w:tc>
          <w:tcPr>
            <w:tcW w:w="2373" w:type="dxa"/>
            <w:tcBorders>
              <w:top w:val="single" w:sz="4" w:space="0" w:color="auto"/>
              <w:left w:val="single" w:sz="4" w:space="0" w:color="auto"/>
              <w:bottom w:val="single" w:sz="4" w:space="0" w:color="auto"/>
              <w:right w:val="single" w:sz="4" w:space="0" w:color="auto"/>
            </w:tcBorders>
          </w:tcPr>
          <w:p w:rsidR="00A54E80" w:rsidRPr="00AF72C2" w:rsidRDefault="00A54E80" w:rsidP="009C177B">
            <w:pPr>
              <w:rPr>
                <w:rFonts w:ascii="Garamond" w:hAnsi="Garamond" w:cs="Arial"/>
                <w:sz w:val="22"/>
                <w:lang w:val="en-CA"/>
              </w:rPr>
            </w:pPr>
            <w:r w:rsidRPr="00AF72C2">
              <w:rPr>
                <w:rFonts w:ascii="Garamond" w:hAnsi="Garamond" w:cs="Arial"/>
                <w:sz w:val="22"/>
                <w:lang w:val="en-CA"/>
              </w:rPr>
              <w:t>5%</w:t>
            </w:r>
          </w:p>
        </w:tc>
        <w:tc>
          <w:tcPr>
            <w:tcW w:w="2235" w:type="dxa"/>
            <w:tcBorders>
              <w:top w:val="single" w:sz="4" w:space="0" w:color="auto"/>
              <w:left w:val="single" w:sz="4" w:space="0" w:color="auto"/>
              <w:bottom w:val="single" w:sz="4" w:space="0" w:color="auto"/>
              <w:right w:val="single" w:sz="4" w:space="0" w:color="auto"/>
            </w:tcBorders>
            <w:vAlign w:val="bottom"/>
          </w:tcPr>
          <w:p w:rsidR="00A54E80" w:rsidRPr="00AF72C2" w:rsidRDefault="00A54E80" w:rsidP="009C177B">
            <w:pPr>
              <w:jc w:val="right"/>
              <w:rPr>
                <w:rFonts w:ascii="Garamond" w:hAnsi="Garamond"/>
                <w:color w:val="000000"/>
                <w:sz w:val="22"/>
              </w:rPr>
            </w:pPr>
            <w:r w:rsidRPr="00AF72C2">
              <w:rPr>
                <w:rFonts w:ascii="Garamond" w:hAnsi="Garamond"/>
                <w:color w:val="000000"/>
                <w:sz w:val="22"/>
              </w:rPr>
              <w:t>218</w:t>
            </w:r>
          </w:p>
        </w:tc>
        <w:tc>
          <w:tcPr>
            <w:tcW w:w="2274" w:type="dxa"/>
            <w:tcBorders>
              <w:top w:val="single" w:sz="4" w:space="0" w:color="auto"/>
              <w:left w:val="single" w:sz="4" w:space="0" w:color="auto"/>
              <w:bottom w:val="single" w:sz="4" w:space="0" w:color="auto"/>
              <w:right w:val="single" w:sz="4" w:space="0" w:color="auto"/>
            </w:tcBorders>
          </w:tcPr>
          <w:p w:rsidR="00A54E80" w:rsidRPr="00AF72C2" w:rsidRDefault="009C177B" w:rsidP="009C177B">
            <w:pPr>
              <w:jc w:val="right"/>
              <w:rPr>
                <w:rFonts w:ascii="Garamond" w:hAnsi="Garamond" w:cs="Arial"/>
                <w:sz w:val="22"/>
                <w:lang w:val="en-CA"/>
              </w:rPr>
            </w:pPr>
            <w:r w:rsidRPr="00AF72C2">
              <w:rPr>
                <w:rFonts w:ascii="Garamond" w:hAnsi="Garamond" w:cs="Arial"/>
                <w:sz w:val="22"/>
                <w:lang w:val="en-CA"/>
              </w:rPr>
              <w:t>9.4%</w:t>
            </w:r>
          </w:p>
        </w:tc>
      </w:tr>
      <w:tr w:rsidR="00A54E80" w:rsidRPr="00AF72C2" w:rsidTr="009C177B">
        <w:trPr>
          <w:trHeight w:val="326"/>
          <w:jc w:val="center"/>
        </w:trPr>
        <w:tc>
          <w:tcPr>
            <w:tcW w:w="2373" w:type="dxa"/>
            <w:tcBorders>
              <w:top w:val="single" w:sz="4" w:space="0" w:color="auto"/>
              <w:left w:val="single" w:sz="4" w:space="0" w:color="auto"/>
              <w:bottom w:val="single" w:sz="4" w:space="0" w:color="auto"/>
              <w:right w:val="single" w:sz="4" w:space="0" w:color="auto"/>
            </w:tcBorders>
          </w:tcPr>
          <w:p w:rsidR="00A54E80" w:rsidRPr="00AF72C2" w:rsidRDefault="00A54E80" w:rsidP="009C177B">
            <w:pPr>
              <w:rPr>
                <w:rFonts w:ascii="Garamond" w:hAnsi="Garamond" w:cs="Arial"/>
                <w:sz w:val="22"/>
                <w:lang w:val="en-CA"/>
              </w:rPr>
            </w:pPr>
            <w:r w:rsidRPr="00AF72C2">
              <w:rPr>
                <w:rFonts w:ascii="Garamond" w:hAnsi="Garamond" w:cs="Arial"/>
                <w:sz w:val="22"/>
                <w:lang w:val="en-CA"/>
              </w:rPr>
              <w:t>10%</w:t>
            </w:r>
          </w:p>
        </w:tc>
        <w:tc>
          <w:tcPr>
            <w:tcW w:w="2235" w:type="dxa"/>
            <w:tcBorders>
              <w:top w:val="single" w:sz="4" w:space="0" w:color="auto"/>
              <w:left w:val="single" w:sz="4" w:space="0" w:color="auto"/>
              <w:bottom w:val="single" w:sz="4" w:space="0" w:color="auto"/>
              <w:right w:val="single" w:sz="4" w:space="0" w:color="auto"/>
            </w:tcBorders>
            <w:vAlign w:val="bottom"/>
          </w:tcPr>
          <w:p w:rsidR="00A54E80" w:rsidRPr="00AF72C2" w:rsidRDefault="00A54E80" w:rsidP="009C177B">
            <w:pPr>
              <w:jc w:val="right"/>
              <w:rPr>
                <w:rFonts w:ascii="Garamond" w:hAnsi="Garamond"/>
                <w:color w:val="000000"/>
                <w:sz w:val="22"/>
              </w:rPr>
            </w:pPr>
            <w:r w:rsidRPr="00AF72C2">
              <w:rPr>
                <w:rFonts w:ascii="Garamond" w:hAnsi="Garamond"/>
                <w:color w:val="000000"/>
                <w:sz w:val="22"/>
              </w:rPr>
              <w:t>323</w:t>
            </w:r>
          </w:p>
        </w:tc>
        <w:tc>
          <w:tcPr>
            <w:tcW w:w="2274" w:type="dxa"/>
            <w:tcBorders>
              <w:top w:val="single" w:sz="4" w:space="0" w:color="auto"/>
              <w:left w:val="single" w:sz="4" w:space="0" w:color="auto"/>
              <w:bottom w:val="single" w:sz="4" w:space="0" w:color="auto"/>
              <w:right w:val="single" w:sz="4" w:space="0" w:color="auto"/>
            </w:tcBorders>
          </w:tcPr>
          <w:p w:rsidR="00A54E80" w:rsidRPr="00AF72C2" w:rsidRDefault="009C177B" w:rsidP="009C177B">
            <w:pPr>
              <w:jc w:val="right"/>
              <w:rPr>
                <w:rFonts w:ascii="Garamond" w:hAnsi="Garamond" w:cs="Arial"/>
                <w:sz w:val="22"/>
                <w:lang w:val="en-CA"/>
              </w:rPr>
            </w:pPr>
            <w:r w:rsidRPr="00AF72C2">
              <w:rPr>
                <w:rFonts w:ascii="Garamond" w:hAnsi="Garamond" w:cs="Arial"/>
                <w:sz w:val="22"/>
                <w:lang w:val="en-CA"/>
              </w:rPr>
              <w:t>14.0%</w:t>
            </w:r>
          </w:p>
        </w:tc>
      </w:tr>
      <w:tr w:rsidR="00A54E80" w:rsidRPr="00AF72C2" w:rsidTr="009C177B">
        <w:trPr>
          <w:trHeight w:val="326"/>
          <w:jc w:val="center"/>
        </w:trPr>
        <w:tc>
          <w:tcPr>
            <w:tcW w:w="2373" w:type="dxa"/>
            <w:tcBorders>
              <w:top w:val="single" w:sz="4" w:space="0" w:color="auto"/>
              <w:left w:val="single" w:sz="4" w:space="0" w:color="auto"/>
              <w:bottom w:val="single" w:sz="4" w:space="0" w:color="auto"/>
              <w:right w:val="single" w:sz="4" w:space="0" w:color="auto"/>
            </w:tcBorders>
          </w:tcPr>
          <w:p w:rsidR="00A54E80" w:rsidRPr="00AF72C2" w:rsidRDefault="00A54E80" w:rsidP="009C177B">
            <w:pPr>
              <w:rPr>
                <w:rFonts w:ascii="Garamond" w:hAnsi="Garamond" w:cs="Arial"/>
                <w:sz w:val="22"/>
                <w:lang w:val="en-CA"/>
              </w:rPr>
            </w:pPr>
            <w:r w:rsidRPr="00AF72C2">
              <w:rPr>
                <w:rFonts w:ascii="Garamond" w:hAnsi="Garamond" w:cs="Arial"/>
                <w:sz w:val="22"/>
                <w:lang w:val="en-CA"/>
              </w:rPr>
              <w:t>15%</w:t>
            </w:r>
          </w:p>
        </w:tc>
        <w:tc>
          <w:tcPr>
            <w:tcW w:w="2235" w:type="dxa"/>
            <w:tcBorders>
              <w:top w:val="single" w:sz="4" w:space="0" w:color="auto"/>
              <w:left w:val="single" w:sz="4" w:space="0" w:color="auto"/>
              <w:bottom w:val="single" w:sz="4" w:space="0" w:color="auto"/>
              <w:right w:val="single" w:sz="4" w:space="0" w:color="auto"/>
            </w:tcBorders>
            <w:vAlign w:val="bottom"/>
          </w:tcPr>
          <w:p w:rsidR="00A54E80" w:rsidRPr="00AF72C2" w:rsidRDefault="00A54E80" w:rsidP="009C177B">
            <w:pPr>
              <w:jc w:val="right"/>
              <w:rPr>
                <w:rFonts w:ascii="Garamond" w:hAnsi="Garamond"/>
                <w:color w:val="000000"/>
                <w:sz w:val="22"/>
              </w:rPr>
            </w:pPr>
            <w:r w:rsidRPr="00AF72C2">
              <w:rPr>
                <w:rFonts w:ascii="Garamond" w:hAnsi="Garamond"/>
                <w:color w:val="000000"/>
                <w:sz w:val="22"/>
              </w:rPr>
              <w:t>544</w:t>
            </w:r>
          </w:p>
        </w:tc>
        <w:tc>
          <w:tcPr>
            <w:tcW w:w="2274" w:type="dxa"/>
            <w:tcBorders>
              <w:top w:val="single" w:sz="4" w:space="0" w:color="auto"/>
              <w:left w:val="single" w:sz="4" w:space="0" w:color="auto"/>
              <w:bottom w:val="single" w:sz="4" w:space="0" w:color="auto"/>
              <w:right w:val="single" w:sz="4" w:space="0" w:color="auto"/>
            </w:tcBorders>
          </w:tcPr>
          <w:p w:rsidR="00A54E80" w:rsidRPr="00AF72C2" w:rsidRDefault="009C177B" w:rsidP="009C177B">
            <w:pPr>
              <w:jc w:val="right"/>
              <w:rPr>
                <w:rFonts w:ascii="Garamond" w:hAnsi="Garamond" w:cs="Arial"/>
                <w:sz w:val="22"/>
                <w:lang w:val="en-CA"/>
              </w:rPr>
            </w:pPr>
            <w:r w:rsidRPr="00AF72C2">
              <w:rPr>
                <w:rFonts w:ascii="Garamond" w:hAnsi="Garamond" w:cs="Arial"/>
                <w:sz w:val="22"/>
                <w:lang w:val="en-CA"/>
              </w:rPr>
              <w:t>23.5%</w:t>
            </w:r>
          </w:p>
        </w:tc>
      </w:tr>
      <w:tr w:rsidR="00A54E80" w:rsidRPr="00AF72C2" w:rsidTr="009C177B">
        <w:trPr>
          <w:trHeight w:val="326"/>
          <w:jc w:val="center"/>
        </w:trPr>
        <w:tc>
          <w:tcPr>
            <w:tcW w:w="2373" w:type="dxa"/>
            <w:tcBorders>
              <w:top w:val="single" w:sz="4" w:space="0" w:color="auto"/>
              <w:left w:val="single" w:sz="4" w:space="0" w:color="auto"/>
              <w:bottom w:val="single" w:sz="4" w:space="0" w:color="auto"/>
              <w:right w:val="single" w:sz="4" w:space="0" w:color="auto"/>
            </w:tcBorders>
          </w:tcPr>
          <w:p w:rsidR="00A54E80" w:rsidRPr="00AF72C2" w:rsidRDefault="00A54E80" w:rsidP="009C177B">
            <w:pPr>
              <w:rPr>
                <w:rFonts w:ascii="Garamond" w:hAnsi="Garamond" w:cs="Arial"/>
                <w:sz w:val="22"/>
                <w:lang w:val="en-CA"/>
              </w:rPr>
            </w:pPr>
            <w:r w:rsidRPr="00AF72C2">
              <w:rPr>
                <w:rFonts w:ascii="Garamond" w:hAnsi="Garamond" w:cs="Arial"/>
                <w:sz w:val="22"/>
                <w:lang w:val="en-CA"/>
              </w:rPr>
              <w:t>NR</w:t>
            </w:r>
          </w:p>
        </w:tc>
        <w:tc>
          <w:tcPr>
            <w:tcW w:w="2235" w:type="dxa"/>
            <w:tcBorders>
              <w:top w:val="single" w:sz="4" w:space="0" w:color="auto"/>
              <w:left w:val="single" w:sz="4" w:space="0" w:color="auto"/>
              <w:bottom w:val="single" w:sz="4" w:space="0" w:color="auto"/>
              <w:right w:val="single" w:sz="4" w:space="0" w:color="auto"/>
            </w:tcBorders>
            <w:vAlign w:val="bottom"/>
          </w:tcPr>
          <w:p w:rsidR="00A54E80" w:rsidRPr="00AF72C2" w:rsidRDefault="00A54E80" w:rsidP="009C177B">
            <w:pPr>
              <w:jc w:val="right"/>
              <w:rPr>
                <w:rFonts w:ascii="Garamond" w:hAnsi="Garamond"/>
                <w:color w:val="000000"/>
                <w:sz w:val="22"/>
              </w:rPr>
            </w:pPr>
            <w:r w:rsidRPr="00AF72C2">
              <w:rPr>
                <w:rFonts w:ascii="Garamond" w:hAnsi="Garamond"/>
                <w:color w:val="000000"/>
                <w:sz w:val="22"/>
              </w:rPr>
              <w:t>105</w:t>
            </w:r>
          </w:p>
        </w:tc>
        <w:tc>
          <w:tcPr>
            <w:tcW w:w="2274" w:type="dxa"/>
            <w:tcBorders>
              <w:top w:val="single" w:sz="4" w:space="0" w:color="auto"/>
              <w:left w:val="single" w:sz="4" w:space="0" w:color="auto"/>
              <w:bottom w:val="single" w:sz="4" w:space="0" w:color="auto"/>
              <w:right w:val="single" w:sz="4" w:space="0" w:color="auto"/>
            </w:tcBorders>
          </w:tcPr>
          <w:p w:rsidR="00A54E80" w:rsidRPr="00AF72C2" w:rsidRDefault="009C177B" w:rsidP="009C177B">
            <w:pPr>
              <w:jc w:val="right"/>
              <w:rPr>
                <w:rFonts w:ascii="Garamond" w:hAnsi="Garamond" w:cs="Arial"/>
                <w:sz w:val="22"/>
                <w:lang w:val="en-CA"/>
              </w:rPr>
            </w:pPr>
            <w:r w:rsidRPr="00AF72C2">
              <w:rPr>
                <w:rFonts w:ascii="Garamond" w:hAnsi="Garamond" w:cs="Arial"/>
                <w:sz w:val="22"/>
                <w:lang w:val="en-CA"/>
              </w:rPr>
              <w:t>4.5%</w:t>
            </w:r>
          </w:p>
        </w:tc>
      </w:tr>
      <w:tr w:rsidR="009C177B" w:rsidRPr="00AF72C2" w:rsidTr="007640E5">
        <w:trPr>
          <w:trHeight w:val="387"/>
          <w:jc w:val="center"/>
        </w:trPr>
        <w:tc>
          <w:tcPr>
            <w:tcW w:w="2373" w:type="dxa"/>
            <w:tcBorders>
              <w:top w:val="single" w:sz="4" w:space="0" w:color="auto"/>
              <w:left w:val="single" w:sz="4" w:space="0" w:color="auto"/>
              <w:bottom w:val="single" w:sz="4" w:space="0" w:color="auto"/>
              <w:right w:val="single" w:sz="4" w:space="0" w:color="auto"/>
            </w:tcBorders>
          </w:tcPr>
          <w:p w:rsidR="009C177B" w:rsidRPr="00AF72C2" w:rsidRDefault="009C177B" w:rsidP="009C177B">
            <w:pPr>
              <w:rPr>
                <w:rFonts w:ascii="Garamond" w:hAnsi="Garamond" w:cs="Arial"/>
                <w:sz w:val="22"/>
                <w:lang w:val="en-CA"/>
              </w:rPr>
            </w:pPr>
            <w:r w:rsidRPr="00AF72C2">
              <w:rPr>
                <w:rFonts w:ascii="Garamond" w:hAnsi="Garamond" w:cs="Arial"/>
                <w:sz w:val="22"/>
                <w:lang w:val="en-CA"/>
              </w:rPr>
              <w:t>Total</w:t>
            </w:r>
          </w:p>
        </w:tc>
        <w:tc>
          <w:tcPr>
            <w:tcW w:w="2235" w:type="dxa"/>
            <w:tcBorders>
              <w:top w:val="single" w:sz="4" w:space="0" w:color="auto"/>
              <w:left w:val="single" w:sz="4" w:space="0" w:color="auto"/>
              <w:bottom w:val="single" w:sz="4" w:space="0" w:color="auto"/>
              <w:right w:val="single" w:sz="4" w:space="0" w:color="auto"/>
            </w:tcBorders>
            <w:vAlign w:val="bottom"/>
          </w:tcPr>
          <w:p w:rsidR="009C177B" w:rsidRPr="00AF72C2" w:rsidRDefault="009C177B" w:rsidP="009C177B">
            <w:pPr>
              <w:jc w:val="right"/>
              <w:rPr>
                <w:rFonts w:ascii="Garamond" w:hAnsi="Garamond"/>
                <w:color w:val="000000"/>
                <w:sz w:val="22"/>
              </w:rPr>
            </w:pPr>
            <w:r w:rsidRPr="00AF72C2">
              <w:rPr>
                <w:rFonts w:ascii="Garamond" w:hAnsi="Garamond"/>
                <w:color w:val="000000"/>
                <w:sz w:val="22"/>
              </w:rPr>
              <w:t>2310</w:t>
            </w:r>
          </w:p>
        </w:tc>
        <w:tc>
          <w:tcPr>
            <w:tcW w:w="2274" w:type="dxa"/>
            <w:tcBorders>
              <w:top w:val="single" w:sz="4" w:space="0" w:color="auto"/>
              <w:left w:val="single" w:sz="4" w:space="0" w:color="auto"/>
              <w:bottom w:val="single" w:sz="4" w:space="0" w:color="auto"/>
              <w:right w:val="single" w:sz="4" w:space="0" w:color="auto"/>
            </w:tcBorders>
          </w:tcPr>
          <w:p w:rsidR="009C177B" w:rsidRPr="00AF72C2" w:rsidRDefault="009C177B" w:rsidP="009C177B">
            <w:pPr>
              <w:jc w:val="right"/>
              <w:rPr>
                <w:rFonts w:ascii="Garamond" w:hAnsi="Garamond" w:cs="Arial"/>
                <w:sz w:val="22"/>
                <w:lang w:val="en-CA"/>
              </w:rPr>
            </w:pPr>
          </w:p>
        </w:tc>
      </w:tr>
    </w:tbl>
    <w:p w:rsidR="0082629B" w:rsidRPr="00C239D4" w:rsidRDefault="0082629B" w:rsidP="0082629B">
      <w:pPr>
        <w:rPr>
          <w:rFonts w:ascii="Garamond" w:hAnsi="Garamond"/>
          <w:sz w:val="28"/>
          <w:szCs w:val="28"/>
          <w:lang w:val="en-CA"/>
        </w:rPr>
      </w:pPr>
    </w:p>
    <w:p w:rsidR="0082629B" w:rsidRPr="007640E5" w:rsidRDefault="0082629B" w:rsidP="0082629B">
      <w:pPr>
        <w:rPr>
          <w:rFonts w:ascii="Garamond" w:hAnsi="Garamond"/>
          <w:szCs w:val="28"/>
          <w:lang w:val="en-CA"/>
        </w:rPr>
      </w:pPr>
      <w:r w:rsidRPr="007640E5">
        <w:rPr>
          <w:rFonts w:ascii="Garamond" w:hAnsi="Garamond"/>
          <w:szCs w:val="28"/>
          <w:lang w:val="en-CA"/>
        </w:rPr>
        <w:t>The essence of this table is hard to understand without following the logic of the questionnaire. This appears in Figure 2 below.</w:t>
      </w:r>
    </w:p>
    <w:p w:rsidR="0082629B" w:rsidRPr="00C239D4" w:rsidRDefault="0082629B" w:rsidP="0082629B">
      <w:pPr>
        <w:rPr>
          <w:rFonts w:ascii="Garamond" w:hAnsi="Garamond"/>
          <w:sz w:val="28"/>
          <w:szCs w:val="28"/>
          <w:lang w:val="en-CA"/>
        </w:rPr>
      </w:pPr>
    </w:p>
    <w:p w:rsidR="0082629B" w:rsidRPr="00C239D4" w:rsidRDefault="00967C20" w:rsidP="00F9579F">
      <w:pPr>
        <w:jc w:val="center"/>
        <w:rPr>
          <w:rFonts w:ascii="Garamond" w:hAnsi="Garamond"/>
          <w:sz w:val="28"/>
          <w:szCs w:val="28"/>
          <w:lang w:val="en-CA"/>
        </w:rPr>
      </w:pPr>
      <w:r>
        <w:rPr>
          <w:rFonts w:ascii="Garamond" w:hAnsi="Garamond"/>
          <w:noProof/>
          <w:sz w:val="28"/>
          <w:szCs w:val="28"/>
          <w:lang w:val="en-CA" w:eastAsia="en-CA"/>
        </w:rPr>
        <w:drawing>
          <wp:inline distT="0" distB="0" distL="0" distR="0" wp14:anchorId="1F39FB11" wp14:editId="0E617254">
            <wp:extent cx="4514850" cy="334465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 - Primary Respondents.emf"/>
                    <pic:cNvPicPr/>
                  </pic:nvPicPr>
                  <pic:blipFill>
                    <a:blip r:embed="rId9">
                      <a:extLst>
                        <a:ext uri="{28A0092B-C50C-407E-A947-70E740481C1C}">
                          <a14:useLocalDpi xmlns:a14="http://schemas.microsoft.com/office/drawing/2010/main" val="0"/>
                        </a:ext>
                      </a:extLst>
                    </a:blip>
                    <a:stretch>
                      <a:fillRect/>
                    </a:stretch>
                  </pic:blipFill>
                  <pic:spPr>
                    <a:xfrm>
                      <a:off x="0" y="0"/>
                      <a:ext cx="4517953" cy="3346952"/>
                    </a:xfrm>
                    <a:prstGeom prst="rect">
                      <a:avLst/>
                    </a:prstGeom>
                  </pic:spPr>
                </pic:pic>
              </a:graphicData>
            </a:graphic>
          </wp:inline>
        </w:drawing>
      </w:r>
    </w:p>
    <w:p w:rsidR="0082629B" w:rsidRPr="00967C20" w:rsidRDefault="0082629B" w:rsidP="0082629B">
      <w:pPr>
        <w:jc w:val="center"/>
        <w:rPr>
          <w:rFonts w:ascii="Garamond" w:hAnsi="Garamond" w:cs="Arial"/>
          <w:b/>
          <w:szCs w:val="28"/>
          <w:lang w:val="en-CA"/>
        </w:rPr>
      </w:pPr>
      <w:r w:rsidRPr="00967C20">
        <w:rPr>
          <w:rFonts w:ascii="Garamond" w:hAnsi="Garamond" w:cs="Arial"/>
          <w:b/>
          <w:szCs w:val="28"/>
          <w:lang w:val="en-CA"/>
        </w:rPr>
        <w:t>Figure 2: Willingness to pay: Primary respondents</w:t>
      </w:r>
    </w:p>
    <w:p w:rsidR="0082629B" w:rsidRPr="00C239D4" w:rsidRDefault="0082629B" w:rsidP="0082629B">
      <w:pPr>
        <w:rPr>
          <w:rFonts w:ascii="Garamond" w:hAnsi="Garamond"/>
          <w:sz w:val="28"/>
          <w:szCs w:val="28"/>
          <w:lang w:val="en-CA"/>
        </w:rPr>
      </w:pPr>
    </w:p>
    <w:p w:rsidR="0082629B" w:rsidRPr="00C239D4" w:rsidRDefault="0082629B" w:rsidP="009C0CA4">
      <w:pPr>
        <w:spacing w:after="200" w:line="276" w:lineRule="auto"/>
        <w:rPr>
          <w:rFonts w:ascii="Garamond" w:eastAsiaTheme="majorEastAsia" w:hAnsi="Garamond" w:cstheme="majorBidi"/>
          <w:b/>
          <w:bCs/>
          <w:sz w:val="28"/>
          <w:szCs w:val="28"/>
          <w:lang w:val="en-CA"/>
        </w:rPr>
      </w:pPr>
      <w:bookmarkStart w:id="14" w:name="_Toc418855653"/>
      <w:r w:rsidRPr="00C239D4">
        <w:rPr>
          <w:rFonts w:ascii="Garamond" w:eastAsiaTheme="majorEastAsia" w:hAnsi="Garamond" w:cstheme="majorBidi"/>
          <w:b/>
          <w:bCs/>
          <w:sz w:val="28"/>
          <w:szCs w:val="28"/>
          <w:lang w:val="en-CA"/>
        </w:rPr>
        <w:t>Willingness to pay – secondary respondents</w:t>
      </w:r>
      <w:bookmarkEnd w:id="14"/>
    </w:p>
    <w:p w:rsidR="0082629B" w:rsidRPr="007640E5" w:rsidRDefault="0082629B" w:rsidP="0082629B">
      <w:pPr>
        <w:rPr>
          <w:rFonts w:ascii="Garamond" w:hAnsi="Garamond"/>
          <w:szCs w:val="28"/>
          <w:lang w:val="en-CA"/>
        </w:rPr>
      </w:pPr>
      <w:r w:rsidRPr="007640E5">
        <w:rPr>
          <w:rFonts w:ascii="Garamond" w:hAnsi="Garamond"/>
          <w:szCs w:val="28"/>
          <w:lang w:val="en-CA"/>
        </w:rPr>
        <w:t xml:space="preserve">Secondary respondents would be willing to pay to avoid the effects of the accident. </w:t>
      </w:r>
      <w:r w:rsidRPr="007640E5">
        <w:rPr>
          <w:rFonts w:ascii="Garamond" w:hAnsi="Garamond"/>
          <w:szCs w:val="28"/>
          <w:lang w:val="en-CA"/>
        </w:rPr>
        <w:fldChar w:fldCharType="begin"/>
      </w:r>
      <w:r w:rsidRPr="007640E5">
        <w:rPr>
          <w:rFonts w:ascii="Garamond" w:hAnsi="Garamond"/>
          <w:szCs w:val="28"/>
          <w:lang w:val="en-CA"/>
        </w:rPr>
        <w:instrText xml:space="preserve"> REF _Ref418664113 \h </w:instrText>
      </w:r>
      <w:r w:rsidR="00C239D4" w:rsidRPr="007640E5">
        <w:rPr>
          <w:rFonts w:ascii="Garamond" w:hAnsi="Garamond"/>
          <w:szCs w:val="28"/>
          <w:lang w:val="en-CA"/>
        </w:rPr>
        <w:instrText xml:space="preserve"> \* MERGEFORMAT </w:instrText>
      </w:r>
      <w:r w:rsidRPr="007640E5">
        <w:rPr>
          <w:rFonts w:ascii="Garamond" w:hAnsi="Garamond"/>
          <w:szCs w:val="28"/>
          <w:lang w:val="en-CA"/>
        </w:rPr>
      </w:r>
      <w:r w:rsidRPr="007640E5">
        <w:rPr>
          <w:rFonts w:ascii="Garamond" w:hAnsi="Garamond"/>
          <w:szCs w:val="28"/>
          <w:lang w:val="en-CA"/>
        </w:rPr>
        <w:fldChar w:fldCharType="separate"/>
      </w:r>
      <w:r w:rsidR="00AF72C2" w:rsidRPr="00AF72C2">
        <w:rPr>
          <w:rFonts w:ascii="Garamond" w:hAnsi="Garamond" w:cs="Arial"/>
          <w:szCs w:val="28"/>
          <w:lang w:val="en-CA"/>
        </w:rPr>
        <w:t xml:space="preserve">Table </w:t>
      </w:r>
      <w:r w:rsidR="00AF72C2" w:rsidRPr="00AF72C2">
        <w:rPr>
          <w:rFonts w:ascii="Garamond" w:hAnsi="Garamond" w:cs="Arial"/>
          <w:noProof/>
          <w:szCs w:val="28"/>
          <w:lang w:val="en-CA"/>
        </w:rPr>
        <w:t>4</w:t>
      </w:r>
      <w:r w:rsidRPr="007640E5">
        <w:rPr>
          <w:rFonts w:ascii="Garamond" w:hAnsi="Garamond"/>
          <w:szCs w:val="28"/>
          <w:lang w:val="en-CA"/>
        </w:rPr>
        <w:fldChar w:fldCharType="end"/>
      </w:r>
      <w:r w:rsidRPr="007640E5">
        <w:rPr>
          <w:rFonts w:ascii="Garamond" w:hAnsi="Garamond"/>
          <w:szCs w:val="28"/>
          <w:lang w:val="en-CA"/>
        </w:rPr>
        <w:t xml:space="preserve"> and Figure 3 show the same information as shown for the primary respondents.</w:t>
      </w:r>
    </w:p>
    <w:p w:rsidR="0082629B" w:rsidRPr="00C239D4" w:rsidRDefault="0082629B" w:rsidP="0082629B">
      <w:pPr>
        <w:rPr>
          <w:rFonts w:ascii="Garamond" w:hAnsi="Garamond"/>
          <w:sz w:val="28"/>
          <w:szCs w:val="28"/>
          <w:lang w:val="en-CA"/>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54"/>
        <w:gridCol w:w="2586"/>
        <w:gridCol w:w="2160"/>
      </w:tblGrid>
      <w:tr w:rsidR="0082629B" w:rsidRPr="00AF72C2" w:rsidTr="00C616B7">
        <w:trPr>
          <w:jc w:val="center"/>
        </w:trPr>
        <w:tc>
          <w:tcPr>
            <w:tcW w:w="7200" w:type="dxa"/>
            <w:gridSpan w:val="3"/>
            <w:shd w:val="clear" w:color="auto" w:fill="D9D9D9"/>
          </w:tcPr>
          <w:p w:rsidR="0082629B" w:rsidRPr="00AF72C2" w:rsidRDefault="0082629B" w:rsidP="0082629B">
            <w:pPr>
              <w:rPr>
                <w:rFonts w:ascii="Garamond" w:eastAsiaTheme="minorHAnsi" w:hAnsi="Garamond" w:cs="Arial"/>
                <w:b/>
                <w:bCs/>
                <w:sz w:val="22"/>
                <w:lang w:val="en-CA"/>
              </w:rPr>
            </w:pPr>
            <w:bookmarkStart w:id="15" w:name="_Ref418664113"/>
            <w:r w:rsidRPr="00AF72C2">
              <w:rPr>
                <w:rFonts w:ascii="Garamond" w:eastAsiaTheme="minorHAnsi" w:hAnsi="Garamond" w:cs="Arial"/>
                <w:b/>
                <w:bCs/>
                <w:sz w:val="22"/>
                <w:lang w:val="en-CA"/>
              </w:rPr>
              <w:t xml:space="preserve">Table </w:t>
            </w:r>
            <w:r w:rsidRPr="00AF72C2">
              <w:rPr>
                <w:rFonts w:ascii="Garamond" w:eastAsiaTheme="minorHAnsi" w:hAnsi="Garamond" w:cs="Arial"/>
                <w:b/>
                <w:bCs/>
                <w:sz w:val="22"/>
                <w:lang w:val="en-CA"/>
              </w:rPr>
              <w:fldChar w:fldCharType="begin"/>
            </w:r>
            <w:r w:rsidRPr="00AF72C2">
              <w:rPr>
                <w:rFonts w:ascii="Garamond" w:eastAsiaTheme="minorHAnsi" w:hAnsi="Garamond" w:cs="Arial"/>
                <w:b/>
                <w:bCs/>
                <w:sz w:val="22"/>
                <w:lang w:val="en-CA"/>
              </w:rPr>
              <w:instrText xml:space="preserve"> SEQ Table \* ARABIC </w:instrText>
            </w:r>
            <w:r w:rsidRPr="00AF72C2">
              <w:rPr>
                <w:rFonts w:ascii="Garamond" w:eastAsiaTheme="minorHAnsi" w:hAnsi="Garamond" w:cs="Arial"/>
                <w:b/>
                <w:bCs/>
                <w:sz w:val="22"/>
                <w:lang w:val="en-CA"/>
              </w:rPr>
              <w:fldChar w:fldCharType="separate"/>
            </w:r>
            <w:r w:rsidR="00AF72C2" w:rsidRPr="00AF72C2">
              <w:rPr>
                <w:rFonts w:ascii="Garamond" w:eastAsiaTheme="minorHAnsi" w:hAnsi="Garamond" w:cs="Arial"/>
                <w:b/>
                <w:bCs/>
                <w:noProof/>
                <w:sz w:val="22"/>
                <w:lang w:val="en-CA"/>
              </w:rPr>
              <w:t>4</w:t>
            </w:r>
            <w:r w:rsidRPr="00AF72C2">
              <w:rPr>
                <w:rFonts w:ascii="Garamond" w:eastAsiaTheme="minorHAnsi" w:hAnsi="Garamond" w:cs="Arial"/>
                <w:b/>
                <w:bCs/>
                <w:sz w:val="22"/>
                <w:lang w:val="en-CA"/>
              </w:rPr>
              <w:fldChar w:fldCharType="end"/>
            </w:r>
            <w:bookmarkEnd w:id="15"/>
            <w:r w:rsidRPr="00AF72C2">
              <w:rPr>
                <w:rFonts w:ascii="Garamond" w:eastAsiaTheme="minorHAnsi" w:hAnsi="Garamond" w:cs="Arial"/>
                <w:b/>
                <w:bCs/>
                <w:sz w:val="22"/>
                <w:lang w:val="en-CA"/>
              </w:rPr>
              <w:t>: Willingness to pay - secondary respondents</w:t>
            </w:r>
          </w:p>
          <w:p w:rsidR="0082629B" w:rsidRPr="00AF72C2" w:rsidRDefault="00320BBF" w:rsidP="0082629B">
            <w:pPr>
              <w:rPr>
                <w:rFonts w:ascii="Garamond" w:hAnsi="Garamond" w:cs="Arial"/>
                <w:i/>
                <w:sz w:val="22"/>
                <w:lang w:val="en-CA"/>
              </w:rPr>
            </w:pPr>
            <w:r w:rsidRPr="00AF72C2">
              <w:rPr>
                <w:rFonts w:ascii="Garamond" w:hAnsi="Garamond" w:cs="Arial"/>
                <w:i/>
                <w:sz w:val="22"/>
                <w:lang w:val="en-CA"/>
              </w:rPr>
              <w:t>If the treatment cost x%</w:t>
            </w:r>
            <w:r w:rsidR="0082629B" w:rsidRPr="00AF72C2">
              <w:rPr>
                <w:rFonts w:ascii="Garamond" w:hAnsi="Garamond" w:cs="Arial"/>
                <w:i/>
                <w:sz w:val="22"/>
                <w:lang w:val="en-CA"/>
              </w:rPr>
              <w:t xml:space="preserve"> of your annual household income for the next 10 years, would you have been willing to pay for it? </w:t>
            </w:r>
          </w:p>
        </w:tc>
      </w:tr>
      <w:tr w:rsidR="0082629B" w:rsidRPr="00AF72C2" w:rsidTr="00C616B7">
        <w:trPr>
          <w:jc w:val="center"/>
        </w:trPr>
        <w:tc>
          <w:tcPr>
            <w:tcW w:w="2454" w:type="dxa"/>
          </w:tcPr>
          <w:p w:rsidR="0082629B" w:rsidRPr="00AF72C2" w:rsidRDefault="00D23FBD" w:rsidP="00D23FBD">
            <w:pPr>
              <w:jc w:val="center"/>
              <w:rPr>
                <w:rFonts w:ascii="Garamond" w:hAnsi="Garamond" w:cs="Arial"/>
                <w:b/>
                <w:sz w:val="22"/>
                <w:lang w:val="en-CA"/>
              </w:rPr>
            </w:pPr>
            <w:r w:rsidRPr="00AF72C2">
              <w:rPr>
                <w:rFonts w:ascii="Garamond" w:hAnsi="Garamond" w:cs="Arial"/>
                <w:b/>
                <w:sz w:val="22"/>
                <w:lang w:val="en-CA"/>
              </w:rPr>
              <w:t>Highest WTP as a p</w:t>
            </w:r>
            <w:r w:rsidR="0082629B" w:rsidRPr="00AF72C2">
              <w:rPr>
                <w:rFonts w:ascii="Garamond" w:hAnsi="Garamond" w:cs="Arial"/>
                <w:b/>
                <w:sz w:val="22"/>
                <w:lang w:val="en-CA"/>
              </w:rPr>
              <w:t xml:space="preserve">ercentage of </w:t>
            </w:r>
            <w:r w:rsidRPr="00AF72C2">
              <w:rPr>
                <w:rFonts w:ascii="Garamond" w:hAnsi="Garamond" w:cs="Arial"/>
                <w:b/>
                <w:sz w:val="22"/>
                <w:lang w:val="en-CA"/>
              </w:rPr>
              <w:t xml:space="preserve">household </w:t>
            </w:r>
            <w:r w:rsidR="0082629B" w:rsidRPr="00AF72C2">
              <w:rPr>
                <w:rFonts w:ascii="Garamond" w:hAnsi="Garamond" w:cs="Arial"/>
                <w:b/>
                <w:sz w:val="22"/>
                <w:lang w:val="en-CA"/>
              </w:rPr>
              <w:t>income</w:t>
            </w:r>
            <w:r w:rsidR="00320BBF" w:rsidRPr="00AF72C2">
              <w:rPr>
                <w:rFonts w:ascii="Garamond" w:hAnsi="Garamond" w:cs="Arial"/>
                <w:b/>
                <w:sz w:val="22"/>
                <w:lang w:val="en-CA"/>
              </w:rPr>
              <w:t xml:space="preserve"> (x)</w:t>
            </w:r>
          </w:p>
        </w:tc>
        <w:tc>
          <w:tcPr>
            <w:tcW w:w="2586" w:type="dxa"/>
          </w:tcPr>
          <w:p w:rsidR="0082629B" w:rsidRPr="00AF72C2" w:rsidRDefault="0082629B" w:rsidP="0082629B">
            <w:pPr>
              <w:jc w:val="center"/>
              <w:rPr>
                <w:rFonts w:ascii="Garamond" w:hAnsi="Garamond" w:cs="Arial"/>
                <w:b/>
                <w:sz w:val="22"/>
                <w:lang w:val="en-CA"/>
              </w:rPr>
            </w:pPr>
            <w:r w:rsidRPr="00AF72C2">
              <w:rPr>
                <w:rFonts w:ascii="Garamond" w:hAnsi="Garamond" w:cs="Arial"/>
                <w:b/>
                <w:sz w:val="22"/>
                <w:lang w:val="en-CA"/>
              </w:rPr>
              <w:t>Number</w:t>
            </w:r>
          </w:p>
        </w:tc>
        <w:tc>
          <w:tcPr>
            <w:tcW w:w="2160" w:type="dxa"/>
          </w:tcPr>
          <w:p w:rsidR="0082629B" w:rsidRPr="00AF72C2" w:rsidRDefault="0082629B" w:rsidP="0082629B">
            <w:pPr>
              <w:jc w:val="center"/>
              <w:rPr>
                <w:rFonts w:ascii="Garamond" w:hAnsi="Garamond" w:cs="Arial"/>
                <w:b/>
                <w:sz w:val="22"/>
                <w:lang w:val="en-CA"/>
              </w:rPr>
            </w:pPr>
            <w:r w:rsidRPr="00AF72C2">
              <w:rPr>
                <w:rFonts w:ascii="Garamond" w:hAnsi="Garamond" w:cs="Arial"/>
                <w:b/>
                <w:sz w:val="22"/>
                <w:lang w:val="en-CA"/>
              </w:rPr>
              <w:t>Percentage</w:t>
            </w:r>
          </w:p>
        </w:tc>
      </w:tr>
      <w:tr w:rsidR="00F9579F" w:rsidRPr="00AF72C2" w:rsidTr="00C616B7">
        <w:trPr>
          <w:jc w:val="center"/>
        </w:trPr>
        <w:tc>
          <w:tcPr>
            <w:tcW w:w="2454" w:type="dxa"/>
          </w:tcPr>
          <w:p w:rsidR="00F9579F" w:rsidRPr="00AF72C2" w:rsidRDefault="00F9579F" w:rsidP="0082629B">
            <w:pPr>
              <w:rPr>
                <w:rFonts w:ascii="Garamond" w:hAnsi="Garamond" w:cs="Arial"/>
                <w:sz w:val="22"/>
                <w:lang w:val="en-CA"/>
              </w:rPr>
            </w:pPr>
            <w:r w:rsidRPr="00AF72C2">
              <w:rPr>
                <w:rFonts w:ascii="Garamond" w:hAnsi="Garamond" w:cs="Arial"/>
                <w:sz w:val="22"/>
                <w:lang w:val="en-CA"/>
              </w:rPr>
              <w:t>0</w:t>
            </w:r>
          </w:p>
        </w:tc>
        <w:tc>
          <w:tcPr>
            <w:tcW w:w="2586" w:type="dxa"/>
            <w:vAlign w:val="bottom"/>
          </w:tcPr>
          <w:p w:rsidR="00F9579F" w:rsidRPr="00AF72C2" w:rsidRDefault="00F9579F">
            <w:pPr>
              <w:jc w:val="right"/>
              <w:rPr>
                <w:rFonts w:ascii="Garamond" w:hAnsi="Garamond"/>
                <w:color w:val="000000"/>
                <w:sz w:val="22"/>
              </w:rPr>
            </w:pPr>
            <w:r w:rsidRPr="00AF72C2">
              <w:rPr>
                <w:rFonts w:ascii="Garamond" w:hAnsi="Garamond"/>
                <w:color w:val="000000"/>
                <w:sz w:val="22"/>
              </w:rPr>
              <w:t>134</w:t>
            </w:r>
          </w:p>
        </w:tc>
        <w:tc>
          <w:tcPr>
            <w:tcW w:w="2160" w:type="dxa"/>
          </w:tcPr>
          <w:p w:rsidR="00F9579F" w:rsidRPr="00AF72C2" w:rsidRDefault="00A54E80" w:rsidP="00A54E80">
            <w:pPr>
              <w:jc w:val="right"/>
              <w:rPr>
                <w:rFonts w:ascii="Garamond" w:hAnsi="Garamond" w:cs="Arial"/>
                <w:sz w:val="22"/>
                <w:lang w:val="en-CA"/>
              </w:rPr>
            </w:pPr>
            <w:r w:rsidRPr="00AF72C2">
              <w:rPr>
                <w:rFonts w:ascii="Garamond" w:hAnsi="Garamond" w:cs="Arial"/>
                <w:sz w:val="22"/>
                <w:lang w:val="en-CA"/>
              </w:rPr>
              <w:t>26.3%</w:t>
            </w:r>
          </w:p>
        </w:tc>
      </w:tr>
      <w:tr w:rsidR="00F9579F" w:rsidRPr="00AF72C2" w:rsidTr="00C616B7">
        <w:trPr>
          <w:jc w:val="center"/>
        </w:trPr>
        <w:tc>
          <w:tcPr>
            <w:tcW w:w="2454" w:type="dxa"/>
          </w:tcPr>
          <w:p w:rsidR="00F9579F" w:rsidRPr="00AF72C2" w:rsidRDefault="00F9579F" w:rsidP="0082629B">
            <w:pPr>
              <w:rPr>
                <w:rFonts w:ascii="Garamond" w:hAnsi="Garamond" w:cs="Arial"/>
                <w:sz w:val="22"/>
                <w:lang w:val="en-CA"/>
              </w:rPr>
            </w:pPr>
            <w:r w:rsidRPr="00AF72C2">
              <w:rPr>
                <w:rFonts w:ascii="Garamond" w:hAnsi="Garamond" w:cs="Arial"/>
                <w:sz w:val="22"/>
                <w:lang w:val="en-CA"/>
              </w:rPr>
              <w:t>5%</w:t>
            </w:r>
          </w:p>
        </w:tc>
        <w:tc>
          <w:tcPr>
            <w:tcW w:w="2586" w:type="dxa"/>
            <w:vAlign w:val="bottom"/>
          </w:tcPr>
          <w:p w:rsidR="00F9579F" w:rsidRPr="00AF72C2" w:rsidRDefault="00F9579F">
            <w:pPr>
              <w:jc w:val="right"/>
              <w:rPr>
                <w:rFonts w:ascii="Garamond" w:hAnsi="Garamond"/>
                <w:color w:val="000000"/>
                <w:sz w:val="22"/>
              </w:rPr>
            </w:pPr>
            <w:r w:rsidRPr="00AF72C2">
              <w:rPr>
                <w:rFonts w:ascii="Garamond" w:hAnsi="Garamond"/>
                <w:color w:val="000000"/>
                <w:sz w:val="22"/>
              </w:rPr>
              <w:t>42</w:t>
            </w:r>
          </w:p>
        </w:tc>
        <w:tc>
          <w:tcPr>
            <w:tcW w:w="2160" w:type="dxa"/>
          </w:tcPr>
          <w:p w:rsidR="00F9579F" w:rsidRPr="00AF72C2" w:rsidRDefault="00A54E80" w:rsidP="00A54E80">
            <w:pPr>
              <w:jc w:val="right"/>
              <w:rPr>
                <w:rFonts w:ascii="Garamond" w:hAnsi="Garamond" w:cs="Arial"/>
                <w:sz w:val="22"/>
                <w:lang w:val="en-CA"/>
              </w:rPr>
            </w:pPr>
            <w:r w:rsidRPr="00AF72C2">
              <w:rPr>
                <w:rFonts w:ascii="Garamond" w:hAnsi="Garamond" w:cs="Arial"/>
                <w:sz w:val="22"/>
                <w:lang w:val="en-CA"/>
              </w:rPr>
              <w:t>8.2%</w:t>
            </w:r>
          </w:p>
        </w:tc>
      </w:tr>
      <w:tr w:rsidR="00F9579F" w:rsidRPr="00AF72C2" w:rsidTr="00C616B7">
        <w:trPr>
          <w:jc w:val="center"/>
        </w:trPr>
        <w:tc>
          <w:tcPr>
            <w:tcW w:w="2454" w:type="dxa"/>
          </w:tcPr>
          <w:p w:rsidR="00F9579F" w:rsidRPr="00AF72C2" w:rsidRDefault="00F9579F" w:rsidP="0082629B">
            <w:pPr>
              <w:rPr>
                <w:rFonts w:ascii="Garamond" w:hAnsi="Garamond" w:cs="Arial"/>
                <w:sz w:val="22"/>
                <w:lang w:val="en-CA"/>
              </w:rPr>
            </w:pPr>
            <w:r w:rsidRPr="00AF72C2">
              <w:rPr>
                <w:rFonts w:ascii="Garamond" w:hAnsi="Garamond" w:cs="Arial"/>
                <w:sz w:val="22"/>
                <w:lang w:val="en-CA"/>
              </w:rPr>
              <w:t>10%</w:t>
            </w:r>
          </w:p>
        </w:tc>
        <w:tc>
          <w:tcPr>
            <w:tcW w:w="2586" w:type="dxa"/>
            <w:vAlign w:val="bottom"/>
          </w:tcPr>
          <w:p w:rsidR="00F9579F" w:rsidRPr="00AF72C2" w:rsidRDefault="00F9579F">
            <w:pPr>
              <w:jc w:val="right"/>
              <w:rPr>
                <w:rFonts w:ascii="Garamond" w:hAnsi="Garamond"/>
                <w:color w:val="000000"/>
                <w:sz w:val="22"/>
              </w:rPr>
            </w:pPr>
            <w:r w:rsidRPr="00AF72C2">
              <w:rPr>
                <w:rFonts w:ascii="Garamond" w:hAnsi="Garamond"/>
                <w:color w:val="000000"/>
                <w:sz w:val="22"/>
              </w:rPr>
              <w:t>83</w:t>
            </w:r>
          </w:p>
        </w:tc>
        <w:tc>
          <w:tcPr>
            <w:tcW w:w="2160" w:type="dxa"/>
          </w:tcPr>
          <w:p w:rsidR="00F9579F" w:rsidRPr="00AF72C2" w:rsidRDefault="00A54E80" w:rsidP="00A54E80">
            <w:pPr>
              <w:jc w:val="right"/>
              <w:rPr>
                <w:rFonts w:ascii="Garamond" w:hAnsi="Garamond" w:cs="Arial"/>
                <w:sz w:val="22"/>
                <w:lang w:val="en-CA"/>
              </w:rPr>
            </w:pPr>
            <w:r w:rsidRPr="00AF72C2">
              <w:rPr>
                <w:rFonts w:ascii="Garamond" w:hAnsi="Garamond" w:cs="Arial"/>
                <w:sz w:val="22"/>
                <w:lang w:val="en-CA"/>
              </w:rPr>
              <w:t>16.2%</w:t>
            </w:r>
          </w:p>
        </w:tc>
      </w:tr>
      <w:tr w:rsidR="00F9579F" w:rsidRPr="00AF72C2" w:rsidTr="00C616B7">
        <w:trPr>
          <w:jc w:val="center"/>
        </w:trPr>
        <w:tc>
          <w:tcPr>
            <w:tcW w:w="2454" w:type="dxa"/>
          </w:tcPr>
          <w:p w:rsidR="00F9579F" w:rsidRPr="00AF72C2" w:rsidRDefault="00F9579F" w:rsidP="0082629B">
            <w:pPr>
              <w:rPr>
                <w:rFonts w:ascii="Garamond" w:hAnsi="Garamond" w:cs="Arial"/>
                <w:sz w:val="22"/>
                <w:lang w:val="en-CA"/>
              </w:rPr>
            </w:pPr>
            <w:r w:rsidRPr="00AF72C2">
              <w:rPr>
                <w:rFonts w:ascii="Garamond" w:hAnsi="Garamond" w:cs="Arial"/>
                <w:sz w:val="22"/>
                <w:lang w:val="en-CA"/>
              </w:rPr>
              <w:t>15%</w:t>
            </w:r>
          </w:p>
        </w:tc>
        <w:tc>
          <w:tcPr>
            <w:tcW w:w="2586" w:type="dxa"/>
            <w:vAlign w:val="bottom"/>
          </w:tcPr>
          <w:p w:rsidR="00F9579F" w:rsidRPr="00AF72C2" w:rsidRDefault="00F9579F">
            <w:pPr>
              <w:jc w:val="right"/>
              <w:rPr>
                <w:rFonts w:ascii="Garamond" w:hAnsi="Garamond"/>
                <w:color w:val="000000"/>
                <w:sz w:val="22"/>
              </w:rPr>
            </w:pPr>
            <w:r w:rsidRPr="00AF72C2">
              <w:rPr>
                <w:rFonts w:ascii="Garamond" w:hAnsi="Garamond"/>
                <w:color w:val="000000"/>
                <w:sz w:val="22"/>
              </w:rPr>
              <w:t>213</w:t>
            </w:r>
          </w:p>
        </w:tc>
        <w:tc>
          <w:tcPr>
            <w:tcW w:w="2160" w:type="dxa"/>
          </w:tcPr>
          <w:p w:rsidR="00F9579F" w:rsidRPr="00AF72C2" w:rsidRDefault="00A54E80" w:rsidP="00A54E80">
            <w:pPr>
              <w:jc w:val="right"/>
              <w:rPr>
                <w:rFonts w:ascii="Garamond" w:hAnsi="Garamond" w:cs="Arial"/>
                <w:sz w:val="22"/>
                <w:lang w:val="en-CA"/>
              </w:rPr>
            </w:pPr>
            <w:r w:rsidRPr="00AF72C2">
              <w:rPr>
                <w:rFonts w:ascii="Garamond" w:hAnsi="Garamond" w:cs="Arial"/>
                <w:sz w:val="22"/>
                <w:lang w:val="en-CA"/>
              </w:rPr>
              <w:t>41.8%</w:t>
            </w:r>
          </w:p>
        </w:tc>
      </w:tr>
      <w:tr w:rsidR="00F9579F" w:rsidRPr="00AF72C2" w:rsidTr="00C616B7">
        <w:trPr>
          <w:jc w:val="center"/>
        </w:trPr>
        <w:tc>
          <w:tcPr>
            <w:tcW w:w="2454" w:type="dxa"/>
          </w:tcPr>
          <w:p w:rsidR="00F9579F" w:rsidRPr="00AF72C2" w:rsidRDefault="00F9579F" w:rsidP="0082629B">
            <w:pPr>
              <w:rPr>
                <w:rFonts w:ascii="Garamond" w:hAnsi="Garamond" w:cs="Arial"/>
                <w:sz w:val="22"/>
                <w:lang w:val="en-CA"/>
              </w:rPr>
            </w:pPr>
            <w:r w:rsidRPr="00AF72C2">
              <w:rPr>
                <w:rFonts w:ascii="Garamond" w:hAnsi="Garamond" w:cs="Arial"/>
                <w:sz w:val="22"/>
                <w:lang w:val="en-CA"/>
              </w:rPr>
              <w:t>NR</w:t>
            </w:r>
          </w:p>
        </w:tc>
        <w:tc>
          <w:tcPr>
            <w:tcW w:w="2586" w:type="dxa"/>
            <w:vAlign w:val="bottom"/>
          </w:tcPr>
          <w:p w:rsidR="00F9579F" w:rsidRPr="00AF72C2" w:rsidRDefault="00F9579F">
            <w:pPr>
              <w:jc w:val="right"/>
              <w:rPr>
                <w:rFonts w:ascii="Garamond" w:hAnsi="Garamond"/>
                <w:color w:val="000000"/>
                <w:sz w:val="22"/>
              </w:rPr>
            </w:pPr>
            <w:r w:rsidRPr="00AF72C2">
              <w:rPr>
                <w:rFonts w:ascii="Garamond" w:hAnsi="Garamond"/>
                <w:color w:val="000000"/>
                <w:sz w:val="22"/>
              </w:rPr>
              <w:t>38</w:t>
            </w:r>
          </w:p>
        </w:tc>
        <w:tc>
          <w:tcPr>
            <w:tcW w:w="2160" w:type="dxa"/>
          </w:tcPr>
          <w:p w:rsidR="00F9579F" w:rsidRPr="00AF72C2" w:rsidRDefault="00A54E80" w:rsidP="00A54E80">
            <w:pPr>
              <w:jc w:val="right"/>
              <w:rPr>
                <w:rFonts w:ascii="Garamond" w:hAnsi="Garamond" w:cs="Arial"/>
                <w:sz w:val="22"/>
                <w:lang w:val="en-CA"/>
              </w:rPr>
            </w:pPr>
            <w:r w:rsidRPr="00AF72C2">
              <w:rPr>
                <w:rFonts w:ascii="Garamond" w:hAnsi="Garamond" w:cs="Arial"/>
                <w:sz w:val="22"/>
                <w:lang w:val="en-CA"/>
              </w:rPr>
              <w:t>7</w:t>
            </w:r>
            <w:r w:rsidR="00244283" w:rsidRPr="00AF72C2">
              <w:rPr>
                <w:rFonts w:ascii="Garamond" w:hAnsi="Garamond" w:cs="Arial"/>
                <w:sz w:val="22"/>
                <w:lang w:val="en-CA"/>
              </w:rPr>
              <w:t>.5</w:t>
            </w:r>
            <w:r w:rsidRPr="00AF72C2">
              <w:rPr>
                <w:rFonts w:ascii="Garamond" w:hAnsi="Garamond" w:cs="Arial"/>
                <w:sz w:val="22"/>
                <w:lang w:val="en-CA"/>
              </w:rPr>
              <w:t>%</w:t>
            </w:r>
          </w:p>
        </w:tc>
      </w:tr>
      <w:tr w:rsidR="00A54E80" w:rsidRPr="00AF72C2" w:rsidTr="00C616B7">
        <w:trPr>
          <w:jc w:val="center"/>
        </w:trPr>
        <w:tc>
          <w:tcPr>
            <w:tcW w:w="2454" w:type="dxa"/>
          </w:tcPr>
          <w:p w:rsidR="00A54E80" w:rsidRPr="00AF72C2" w:rsidRDefault="00A54E80" w:rsidP="00A54E80">
            <w:pPr>
              <w:jc w:val="right"/>
              <w:rPr>
                <w:rFonts w:ascii="Garamond" w:hAnsi="Garamond" w:cs="Arial"/>
                <w:sz w:val="22"/>
                <w:szCs w:val="28"/>
                <w:lang w:val="en-CA"/>
              </w:rPr>
            </w:pPr>
            <w:r w:rsidRPr="00AF72C2">
              <w:rPr>
                <w:rFonts w:ascii="Garamond" w:hAnsi="Garamond" w:cs="Arial"/>
                <w:sz w:val="22"/>
                <w:szCs w:val="28"/>
                <w:lang w:val="en-CA"/>
              </w:rPr>
              <w:t>Total</w:t>
            </w:r>
          </w:p>
        </w:tc>
        <w:tc>
          <w:tcPr>
            <w:tcW w:w="2586" w:type="dxa"/>
            <w:vAlign w:val="bottom"/>
          </w:tcPr>
          <w:p w:rsidR="00A54E80" w:rsidRPr="00AF72C2" w:rsidRDefault="00A54E80">
            <w:pPr>
              <w:jc w:val="right"/>
              <w:rPr>
                <w:rFonts w:ascii="Garamond" w:hAnsi="Garamond"/>
                <w:color w:val="000000"/>
                <w:sz w:val="22"/>
                <w:szCs w:val="28"/>
              </w:rPr>
            </w:pPr>
            <w:r w:rsidRPr="00AF72C2">
              <w:rPr>
                <w:rFonts w:ascii="Garamond" w:hAnsi="Garamond"/>
                <w:color w:val="000000"/>
                <w:sz w:val="22"/>
                <w:szCs w:val="28"/>
              </w:rPr>
              <w:t>510</w:t>
            </w:r>
          </w:p>
        </w:tc>
        <w:tc>
          <w:tcPr>
            <w:tcW w:w="2160" w:type="dxa"/>
          </w:tcPr>
          <w:p w:rsidR="00A54E80" w:rsidRPr="00AF72C2" w:rsidRDefault="00A54E80" w:rsidP="00A54E80">
            <w:pPr>
              <w:jc w:val="right"/>
              <w:rPr>
                <w:rFonts w:ascii="Garamond" w:hAnsi="Garamond" w:cs="Arial"/>
                <w:sz w:val="22"/>
                <w:szCs w:val="28"/>
                <w:lang w:val="en-CA"/>
              </w:rPr>
            </w:pPr>
          </w:p>
        </w:tc>
      </w:tr>
    </w:tbl>
    <w:p w:rsidR="0082629B" w:rsidRPr="00C239D4" w:rsidRDefault="0082629B" w:rsidP="0082629B">
      <w:pPr>
        <w:rPr>
          <w:rFonts w:ascii="Garamond" w:hAnsi="Garamond"/>
          <w:sz w:val="28"/>
          <w:szCs w:val="28"/>
          <w:lang w:val="en-CA"/>
        </w:rPr>
      </w:pPr>
    </w:p>
    <w:p w:rsidR="0082629B" w:rsidRPr="00C239D4" w:rsidRDefault="00967C20" w:rsidP="007640E5">
      <w:pPr>
        <w:tabs>
          <w:tab w:val="left" w:pos="1425"/>
        </w:tabs>
        <w:jc w:val="center"/>
        <w:rPr>
          <w:rFonts w:ascii="Garamond" w:hAnsi="Garamond"/>
          <w:sz w:val="28"/>
          <w:szCs w:val="28"/>
          <w:lang w:val="en-CA"/>
        </w:rPr>
      </w:pPr>
      <w:r>
        <w:rPr>
          <w:rFonts w:ascii="Garamond" w:hAnsi="Garamond"/>
          <w:noProof/>
          <w:sz w:val="28"/>
          <w:szCs w:val="28"/>
          <w:lang w:val="en-CA" w:eastAsia="en-CA"/>
        </w:rPr>
        <w:drawing>
          <wp:inline distT="0" distB="0" distL="0" distR="0" wp14:anchorId="6C21C4FE" wp14:editId="668F4154">
            <wp:extent cx="5343277" cy="395836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 - Secondary Respondents.emf"/>
                    <pic:cNvPicPr/>
                  </pic:nvPicPr>
                  <pic:blipFill>
                    <a:blip r:embed="rId10">
                      <a:extLst>
                        <a:ext uri="{28A0092B-C50C-407E-A947-70E740481C1C}">
                          <a14:useLocalDpi xmlns:a14="http://schemas.microsoft.com/office/drawing/2010/main" val="0"/>
                        </a:ext>
                      </a:extLst>
                    </a:blip>
                    <a:stretch>
                      <a:fillRect/>
                    </a:stretch>
                  </pic:blipFill>
                  <pic:spPr>
                    <a:xfrm>
                      <a:off x="0" y="0"/>
                      <a:ext cx="5340932" cy="3956627"/>
                    </a:xfrm>
                    <a:prstGeom prst="rect">
                      <a:avLst/>
                    </a:prstGeom>
                  </pic:spPr>
                </pic:pic>
              </a:graphicData>
            </a:graphic>
          </wp:inline>
        </w:drawing>
      </w:r>
    </w:p>
    <w:p w:rsidR="0082629B" w:rsidRPr="00C239D4" w:rsidRDefault="0082629B" w:rsidP="0082629B">
      <w:pPr>
        <w:rPr>
          <w:rFonts w:ascii="Garamond" w:hAnsi="Garamond"/>
          <w:sz w:val="28"/>
          <w:szCs w:val="28"/>
          <w:lang w:val="en-CA"/>
        </w:rPr>
      </w:pPr>
    </w:p>
    <w:p w:rsidR="0082629B" w:rsidRPr="00967C20" w:rsidRDefault="0082629B" w:rsidP="0082629B">
      <w:pPr>
        <w:jc w:val="center"/>
        <w:rPr>
          <w:rFonts w:ascii="Garamond" w:hAnsi="Garamond" w:cs="Arial"/>
          <w:b/>
          <w:szCs w:val="28"/>
          <w:lang w:val="en-CA"/>
        </w:rPr>
      </w:pPr>
      <w:r w:rsidRPr="00967C20">
        <w:rPr>
          <w:rFonts w:ascii="Garamond" w:hAnsi="Garamond" w:cs="Arial"/>
          <w:b/>
          <w:szCs w:val="28"/>
          <w:lang w:val="en-CA"/>
        </w:rPr>
        <w:t>Figure 3: WTP map for secondary respondents</w:t>
      </w:r>
    </w:p>
    <w:p w:rsidR="00244283" w:rsidRDefault="00244283" w:rsidP="0082629B">
      <w:pPr>
        <w:jc w:val="center"/>
        <w:rPr>
          <w:rFonts w:ascii="Garamond" w:hAnsi="Garamond" w:cs="Arial"/>
          <w:b/>
          <w:sz w:val="28"/>
          <w:szCs w:val="28"/>
          <w:lang w:val="en-CA"/>
        </w:rPr>
      </w:pPr>
    </w:p>
    <w:p w:rsidR="00244283" w:rsidRPr="00C239D4" w:rsidRDefault="00244283" w:rsidP="0082629B">
      <w:pPr>
        <w:jc w:val="center"/>
        <w:rPr>
          <w:rFonts w:ascii="Garamond" w:hAnsi="Garamond" w:cs="Arial"/>
          <w:b/>
          <w:sz w:val="28"/>
          <w:szCs w:val="28"/>
          <w:lang w:val="en-CA"/>
        </w:rPr>
      </w:pPr>
    </w:p>
    <w:p w:rsidR="0082629B" w:rsidRPr="007640E5" w:rsidRDefault="00244283" w:rsidP="0082629B">
      <w:pPr>
        <w:rPr>
          <w:rFonts w:ascii="Garamond" w:hAnsi="Garamond"/>
          <w:szCs w:val="28"/>
          <w:lang w:val="en-CA"/>
        </w:rPr>
      </w:pPr>
      <w:r w:rsidRPr="007640E5">
        <w:rPr>
          <w:rFonts w:ascii="Garamond" w:hAnsi="Garamond"/>
          <w:szCs w:val="28"/>
          <w:lang w:val="en-CA"/>
        </w:rPr>
        <w:lastRenderedPageBreak/>
        <w:t>The responses for</w:t>
      </w:r>
      <w:r w:rsidR="00D23FBD">
        <w:rPr>
          <w:rFonts w:ascii="Garamond" w:hAnsi="Garamond"/>
          <w:szCs w:val="28"/>
          <w:lang w:val="en-CA"/>
        </w:rPr>
        <w:t xml:space="preserve"> the two types of respondents</w:t>
      </w:r>
      <w:r w:rsidRPr="007640E5">
        <w:rPr>
          <w:rFonts w:ascii="Garamond" w:hAnsi="Garamond"/>
          <w:szCs w:val="28"/>
          <w:lang w:val="en-CA"/>
        </w:rPr>
        <w:t xml:space="preserve"> “appear” consistent. However, some anomalies remain, especially around the non-responses (NR). These could be interpreted a proxy measure of task complexity. </w:t>
      </w:r>
      <w:r w:rsidR="00C616B7" w:rsidRPr="007640E5">
        <w:rPr>
          <w:rFonts w:ascii="Garamond" w:hAnsi="Garamond"/>
          <w:szCs w:val="28"/>
          <w:lang w:val="en-CA"/>
        </w:rPr>
        <w:t>It is important to underscore that for PRs, the questionnaire exhaustively enumerated income from the job at the time of the injury as well as other employment and other family income. The WCB value of the wage of the primary employment (the job at which PR was injured) was presented to the respondent to verify</w:t>
      </w:r>
      <w:r w:rsidR="00D23FBD">
        <w:rPr>
          <w:rFonts w:ascii="Garamond" w:hAnsi="Garamond"/>
          <w:szCs w:val="28"/>
          <w:lang w:val="en-CA"/>
        </w:rPr>
        <w:t>,</w:t>
      </w:r>
      <w:r w:rsidR="00C616B7" w:rsidRPr="007640E5">
        <w:rPr>
          <w:rFonts w:ascii="Garamond" w:hAnsi="Garamond"/>
          <w:szCs w:val="28"/>
          <w:lang w:val="en-CA"/>
        </w:rPr>
        <w:t xml:space="preserve"> and correct if </w:t>
      </w:r>
      <w:r w:rsidR="00D23FBD">
        <w:rPr>
          <w:rFonts w:ascii="Garamond" w:hAnsi="Garamond"/>
          <w:szCs w:val="28"/>
          <w:lang w:val="en-CA"/>
        </w:rPr>
        <w:t>necessary</w:t>
      </w:r>
      <w:r w:rsidR="00C616B7" w:rsidRPr="007640E5">
        <w:rPr>
          <w:rFonts w:ascii="Garamond" w:hAnsi="Garamond"/>
          <w:szCs w:val="28"/>
          <w:lang w:val="en-CA"/>
        </w:rPr>
        <w:t>. Similarly, SRs went through a similar but briefer income enumeration that concluded with an estimate of household income.</w:t>
      </w:r>
      <w:r w:rsidR="00C616B7" w:rsidRPr="007640E5">
        <w:rPr>
          <w:rStyle w:val="FootnoteReference"/>
          <w:rFonts w:ascii="Garamond" w:hAnsi="Garamond"/>
          <w:szCs w:val="28"/>
          <w:lang w:val="en-CA"/>
        </w:rPr>
        <w:footnoteReference w:id="7"/>
      </w:r>
    </w:p>
    <w:p w:rsidR="00C616B7" w:rsidRPr="007640E5" w:rsidRDefault="00C616B7" w:rsidP="0082629B">
      <w:pPr>
        <w:rPr>
          <w:rFonts w:ascii="Garamond" w:hAnsi="Garamond"/>
          <w:szCs w:val="28"/>
          <w:lang w:val="en-CA"/>
        </w:rPr>
      </w:pPr>
    </w:p>
    <w:p w:rsidR="00C616B7" w:rsidRPr="007640E5" w:rsidRDefault="00C616B7" w:rsidP="0082629B">
      <w:pPr>
        <w:rPr>
          <w:rFonts w:ascii="Garamond" w:hAnsi="Garamond"/>
          <w:szCs w:val="28"/>
          <w:lang w:val="en-CA"/>
        </w:rPr>
      </w:pPr>
      <w:r w:rsidRPr="007640E5">
        <w:rPr>
          <w:rFonts w:ascii="Garamond" w:hAnsi="Garamond"/>
          <w:szCs w:val="28"/>
          <w:lang w:val="en-CA"/>
        </w:rPr>
        <w:t>Coupled with the enumeration of the physical, social</w:t>
      </w:r>
      <w:r w:rsidR="00D23FBD">
        <w:rPr>
          <w:rFonts w:ascii="Garamond" w:hAnsi="Garamond"/>
          <w:szCs w:val="28"/>
          <w:lang w:val="en-CA"/>
        </w:rPr>
        <w:t>,</w:t>
      </w:r>
      <w:r w:rsidRPr="007640E5">
        <w:rPr>
          <w:rFonts w:ascii="Garamond" w:hAnsi="Garamond"/>
          <w:szCs w:val="28"/>
          <w:lang w:val="en-CA"/>
        </w:rPr>
        <w:t xml:space="preserve"> and psychological </w:t>
      </w:r>
      <w:r w:rsidR="001D2BB0">
        <w:rPr>
          <w:rFonts w:ascii="Garamond" w:hAnsi="Garamond"/>
          <w:szCs w:val="28"/>
          <w:lang w:val="en-CA"/>
        </w:rPr>
        <w:t xml:space="preserve">outcomes </w:t>
      </w:r>
      <w:r w:rsidRPr="007640E5">
        <w:rPr>
          <w:rFonts w:ascii="Garamond" w:hAnsi="Garamond"/>
          <w:szCs w:val="28"/>
          <w:lang w:val="en-CA"/>
        </w:rPr>
        <w:t>in the interview, the salience is as high as can be accomplished within the constraints of respondent burden and recall. Suffice to say that respondents were thoroughly reminded of both their total income and the sequelae of the accident. This emerges in the coherence of the responses apparent in Figures 2 and 3.</w:t>
      </w:r>
    </w:p>
    <w:p w:rsidR="00244283" w:rsidRPr="007640E5" w:rsidRDefault="00244283" w:rsidP="0082629B">
      <w:pPr>
        <w:rPr>
          <w:rFonts w:ascii="Garamond" w:hAnsi="Garamond"/>
          <w:szCs w:val="28"/>
          <w:lang w:val="en-CA"/>
        </w:rPr>
      </w:pPr>
    </w:p>
    <w:p w:rsidR="00C616B7" w:rsidRDefault="00713A8B" w:rsidP="0082629B">
      <w:pPr>
        <w:spacing w:after="200" w:line="276" w:lineRule="auto"/>
        <w:rPr>
          <w:rFonts w:ascii="Garamond" w:hAnsi="Garamond"/>
          <w:b/>
          <w:sz w:val="28"/>
          <w:szCs w:val="28"/>
          <w:lang w:val="en-CA"/>
        </w:rPr>
      </w:pPr>
      <w:r w:rsidRPr="00713A8B">
        <w:rPr>
          <w:rFonts w:ascii="Garamond" w:hAnsi="Garamond"/>
          <w:b/>
          <w:sz w:val="28"/>
          <w:szCs w:val="28"/>
          <w:lang w:val="en-CA"/>
        </w:rPr>
        <w:t>Preliminary esti</w:t>
      </w:r>
      <w:r w:rsidR="00244283">
        <w:rPr>
          <w:rFonts w:ascii="Garamond" w:hAnsi="Garamond"/>
          <w:b/>
          <w:sz w:val="28"/>
          <w:szCs w:val="28"/>
          <w:lang w:val="en-CA"/>
        </w:rPr>
        <w:t>mates of the value of the accident</w:t>
      </w:r>
    </w:p>
    <w:p w:rsidR="00635509" w:rsidRPr="007640E5" w:rsidRDefault="009C177B" w:rsidP="00320BBF">
      <w:pPr>
        <w:spacing w:after="200"/>
        <w:rPr>
          <w:rFonts w:ascii="Garamond" w:hAnsi="Garamond"/>
          <w:lang w:val="en-CA"/>
        </w:rPr>
      </w:pPr>
      <w:r w:rsidRPr="007640E5">
        <w:rPr>
          <w:rFonts w:ascii="Garamond" w:hAnsi="Garamond"/>
          <w:lang w:val="en-CA"/>
        </w:rPr>
        <w:fldChar w:fldCharType="begin"/>
      </w:r>
      <w:r w:rsidRPr="007640E5">
        <w:rPr>
          <w:rFonts w:ascii="Garamond" w:hAnsi="Garamond"/>
          <w:lang w:val="en-CA"/>
        </w:rPr>
        <w:instrText xml:space="preserve"> REF _Ref418662554 \h </w:instrText>
      </w:r>
      <w:r w:rsidR="007640E5" w:rsidRPr="007640E5">
        <w:rPr>
          <w:rFonts w:ascii="Garamond" w:hAnsi="Garamond"/>
          <w:lang w:val="en-CA"/>
        </w:rPr>
        <w:instrText xml:space="preserve"> \* MERGEFORMAT </w:instrText>
      </w:r>
      <w:r w:rsidRPr="007640E5">
        <w:rPr>
          <w:rFonts w:ascii="Garamond" w:hAnsi="Garamond"/>
          <w:lang w:val="en-CA"/>
        </w:rPr>
      </w:r>
      <w:r w:rsidRPr="007640E5">
        <w:rPr>
          <w:rFonts w:ascii="Garamond" w:hAnsi="Garamond"/>
          <w:lang w:val="en-CA"/>
        </w:rPr>
        <w:fldChar w:fldCharType="separate"/>
      </w:r>
      <w:r w:rsidR="00AF72C2" w:rsidRPr="00AF72C2">
        <w:rPr>
          <w:rFonts w:ascii="Garamond" w:eastAsiaTheme="minorHAnsi" w:hAnsi="Garamond" w:cs="Arial"/>
          <w:bCs/>
          <w:lang w:val="en-CA"/>
        </w:rPr>
        <w:t xml:space="preserve">Table </w:t>
      </w:r>
      <w:r w:rsidR="00AF72C2" w:rsidRPr="00AF72C2">
        <w:rPr>
          <w:rFonts w:ascii="Garamond" w:eastAsiaTheme="minorHAnsi" w:hAnsi="Garamond" w:cs="Arial"/>
          <w:bCs/>
          <w:noProof/>
          <w:lang w:val="en-CA"/>
        </w:rPr>
        <w:t>3</w:t>
      </w:r>
      <w:r w:rsidRPr="007640E5">
        <w:rPr>
          <w:rFonts w:ascii="Garamond" w:hAnsi="Garamond"/>
          <w:lang w:val="en-CA"/>
        </w:rPr>
        <w:fldChar w:fldCharType="end"/>
      </w:r>
      <w:r w:rsidRPr="007640E5">
        <w:rPr>
          <w:rFonts w:ascii="Garamond" w:hAnsi="Garamond"/>
          <w:lang w:val="en-CA"/>
        </w:rPr>
        <w:t xml:space="preserve"> and </w:t>
      </w:r>
      <w:r w:rsidRPr="007640E5">
        <w:rPr>
          <w:rFonts w:ascii="Garamond" w:hAnsi="Garamond"/>
          <w:lang w:val="en-CA"/>
        </w:rPr>
        <w:fldChar w:fldCharType="begin"/>
      </w:r>
      <w:r w:rsidRPr="007640E5">
        <w:rPr>
          <w:rFonts w:ascii="Garamond" w:hAnsi="Garamond"/>
          <w:lang w:val="en-CA"/>
        </w:rPr>
        <w:instrText xml:space="preserve"> REF _Ref418664113 \h </w:instrText>
      </w:r>
      <w:r w:rsidR="007640E5" w:rsidRPr="007640E5">
        <w:rPr>
          <w:rFonts w:ascii="Garamond" w:hAnsi="Garamond"/>
          <w:lang w:val="en-CA"/>
        </w:rPr>
        <w:instrText xml:space="preserve"> \* MERGEFORMAT </w:instrText>
      </w:r>
      <w:r w:rsidRPr="007640E5">
        <w:rPr>
          <w:rFonts w:ascii="Garamond" w:hAnsi="Garamond"/>
          <w:lang w:val="en-CA"/>
        </w:rPr>
      </w:r>
      <w:r w:rsidRPr="007640E5">
        <w:rPr>
          <w:rFonts w:ascii="Garamond" w:hAnsi="Garamond"/>
          <w:lang w:val="en-CA"/>
        </w:rPr>
        <w:fldChar w:fldCharType="separate"/>
      </w:r>
      <w:r w:rsidR="00AF72C2" w:rsidRPr="00AF72C2">
        <w:rPr>
          <w:rFonts w:ascii="Garamond" w:eastAsiaTheme="minorHAnsi" w:hAnsi="Garamond" w:cs="Arial"/>
          <w:bCs/>
          <w:lang w:val="en-CA"/>
        </w:rPr>
        <w:t xml:space="preserve">Table </w:t>
      </w:r>
      <w:r w:rsidR="00AF72C2" w:rsidRPr="00AF72C2">
        <w:rPr>
          <w:rFonts w:ascii="Garamond" w:eastAsiaTheme="minorHAnsi" w:hAnsi="Garamond" w:cs="Arial"/>
          <w:bCs/>
          <w:noProof/>
          <w:lang w:val="en-CA"/>
        </w:rPr>
        <w:t>4</w:t>
      </w:r>
      <w:r w:rsidRPr="007640E5">
        <w:rPr>
          <w:rFonts w:ascii="Garamond" w:hAnsi="Garamond"/>
          <w:lang w:val="en-CA"/>
        </w:rPr>
        <w:fldChar w:fldCharType="end"/>
      </w:r>
      <w:r w:rsidRPr="007640E5">
        <w:rPr>
          <w:rFonts w:ascii="Garamond" w:hAnsi="Garamond"/>
          <w:lang w:val="en-CA"/>
        </w:rPr>
        <w:t xml:space="preserve"> show that </w:t>
      </w:r>
      <w:r w:rsidR="00320BBF" w:rsidRPr="007640E5">
        <w:rPr>
          <w:rFonts w:ascii="Garamond" w:hAnsi="Garamond"/>
          <w:lang w:val="en-CA"/>
        </w:rPr>
        <w:t xml:space="preserve">over 50% of primary respondents are prepared to pay nothing to avoid the accident in the first place. More than anything, this reflects many accidents that results in </w:t>
      </w:r>
      <w:r w:rsidR="005C3C63">
        <w:rPr>
          <w:rFonts w:ascii="Garamond" w:hAnsi="Garamond"/>
          <w:lang w:val="en-CA"/>
        </w:rPr>
        <w:t>time loss</w:t>
      </w:r>
      <w:r w:rsidR="00320BBF" w:rsidRPr="007640E5">
        <w:rPr>
          <w:rFonts w:ascii="Garamond" w:hAnsi="Garamond"/>
          <w:lang w:val="en-CA"/>
        </w:rPr>
        <w:t xml:space="preserve"> injuries are relatively benign in the sense that workers recovered fully, received wage compensation and other benefits, and </w:t>
      </w:r>
      <w:r w:rsidR="005C3C63">
        <w:rPr>
          <w:rFonts w:ascii="Garamond" w:hAnsi="Garamond"/>
          <w:lang w:val="en-CA"/>
        </w:rPr>
        <w:t>experienced little or no long-term impacts</w:t>
      </w:r>
      <w:r w:rsidR="00320BBF" w:rsidRPr="007640E5">
        <w:rPr>
          <w:rFonts w:ascii="Garamond" w:hAnsi="Garamond"/>
          <w:lang w:val="en-CA"/>
        </w:rPr>
        <w:t>.</w:t>
      </w:r>
    </w:p>
    <w:p w:rsidR="00320BBF" w:rsidRPr="007640E5" w:rsidRDefault="00320BBF" w:rsidP="00320BBF">
      <w:pPr>
        <w:spacing w:after="200"/>
        <w:rPr>
          <w:rFonts w:ascii="Garamond" w:hAnsi="Garamond"/>
          <w:lang w:val="en-CA"/>
        </w:rPr>
      </w:pPr>
      <w:r w:rsidRPr="007640E5">
        <w:rPr>
          <w:rFonts w:ascii="Garamond" w:hAnsi="Garamond"/>
          <w:lang w:val="en-CA"/>
        </w:rPr>
        <w:t xml:space="preserve">Fewer secondary respondents indicated that they placed a zero value </w:t>
      </w:r>
      <w:r w:rsidR="001D2BB0">
        <w:rPr>
          <w:rFonts w:ascii="Garamond" w:hAnsi="Garamond"/>
          <w:lang w:val="en-CA"/>
        </w:rPr>
        <w:t xml:space="preserve">of avoiding the </w:t>
      </w:r>
      <w:r w:rsidRPr="007640E5">
        <w:rPr>
          <w:rFonts w:ascii="Garamond" w:hAnsi="Garamond"/>
          <w:lang w:val="en-CA"/>
        </w:rPr>
        <w:t xml:space="preserve">accident (26.3%). One </w:t>
      </w:r>
      <w:r w:rsidR="005C3C63">
        <w:rPr>
          <w:rFonts w:ascii="Garamond" w:hAnsi="Garamond"/>
          <w:lang w:val="en-CA"/>
        </w:rPr>
        <w:t xml:space="preserve">possible </w:t>
      </w:r>
      <w:r w:rsidRPr="007640E5">
        <w:rPr>
          <w:rFonts w:ascii="Garamond" w:hAnsi="Garamond"/>
          <w:lang w:val="en-CA"/>
        </w:rPr>
        <w:t xml:space="preserve">explanation is that many of injured </w:t>
      </w:r>
      <w:r w:rsidR="00B7603A" w:rsidRPr="007640E5">
        <w:rPr>
          <w:rFonts w:ascii="Garamond" w:hAnsi="Garamond"/>
          <w:lang w:val="en-CA"/>
        </w:rPr>
        <w:t>workers did not identify another member of the household who was familiar with the injury. Some injured workers lived alone while in other cases, the respondent declined to name some, possibly because since the injury was not considered severe.</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20"/>
        <w:gridCol w:w="1559"/>
        <w:gridCol w:w="1559"/>
      </w:tblGrid>
      <w:tr w:rsidR="00B7603A" w:rsidRPr="007640E5" w:rsidTr="00700E72">
        <w:tc>
          <w:tcPr>
            <w:tcW w:w="7938" w:type="dxa"/>
            <w:gridSpan w:val="3"/>
            <w:shd w:val="clear" w:color="auto" w:fill="D9D9D9"/>
          </w:tcPr>
          <w:p w:rsidR="00B7603A" w:rsidRPr="007640E5" w:rsidRDefault="00B7603A" w:rsidP="00B7603A">
            <w:pPr>
              <w:pStyle w:val="Caption"/>
              <w:rPr>
                <w:rFonts w:ascii="Garamond" w:hAnsi="Garamond" w:cs="Arial"/>
                <w:b w:val="0"/>
                <w:sz w:val="24"/>
                <w:szCs w:val="24"/>
                <w:lang w:val="en-CA"/>
              </w:rPr>
            </w:pPr>
            <w:bookmarkStart w:id="16" w:name="_Ref420585494"/>
            <w:r w:rsidRPr="007640E5">
              <w:rPr>
                <w:rFonts w:ascii="Garamond" w:hAnsi="Garamond" w:cs="Arial"/>
                <w:sz w:val="24"/>
                <w:szCs w:val="24"/>
              </w:rPr>
              <w:t xml:space="preserve">Table </w:t>
            </w:r>
            <w:r w:rsidRPr="007640E5">
              <w:rPr>
                <w:rFonts w:ascii="Garamond" w:hAnsi="Garamond" w:cs="Arial"/>
                <w:sz w:val="24"/>
                <w:szCs w:val="24"/>
              </w:rPr>
              <w:fldChar w:fldCharType="begin"/>
            </w:r>
            <w:r w:rsidRPr="007640E5">
              <w:rPr>
                <w:rFonts w:ascii="Garamond" w:hAnsi="Garamond" w:cs="Arial"/>
                <w:sz w:val="24"/>
                <w:szCs w:val="24"/>
              </w:rPr>
              <w:instrText xml:space="preserve"> SEQ Table \* ARABIC </w:instrText>
            </w:r>
            <w:r w:rsidRPr="007640E5">
              <w:rPr>
                <w:rFonts w:ascii="Garamond" w:hAnsi="Garamond" w:cs="Arial"/>
                <w:sz w:val="24"/>
                <w:szCs w:val="24"/>
              </w:rPr>
              <w:fldChar w:fldCharType="separate"/>
            </w:r>
            <w:r w:rsidR="00AF72C2">
              <w:rPr>
                <w:rFonts w:ascii="Garamond" w:hAnsi="Garamond" w:cs="Arial"/>
                <w:noProof/>
                <w:sz w:val="24"/>
                <w:szCs w:val="24"/>
              </w:rPr>
              <w:t>5</w:t>
            </w:r>
            <w:r w:rsidRPr="007640E5">
              <w:rPr>
                <w:rFonts w:ascii="Garamond" w:hAnsi="Garamond" w:cs="Arial"/>
                <w:sz w:val="24"/>
                <w:szCs w:val="24"/>
              </w:rPr>
              <w:fldChar w:fldCharType="end"/>
            </w:r>
            <w:bookmarkEnd w:id="16"/>
            <w:r w:rsidRPr="007640E5">
              <w:rPr>
                <w:rFonts w:ascii="Garamond" w:hAnsi="Garamond" w:cs="Arial"/>
                <w:sz w:val="24"/>
                <w:szCs w:val="24"/>
              </w:rPr>
              <w:t>: Willingness to pay estimates to have been able to avoid the accident in the first place</w:t>
            </w:r>
            <w:r w:rsidR="001E5CE0" w:rsidRPr="007640E5">
              <w:rPr>
                <w:rFonts w:ascii="Garamond" w:hAnsi="Garamond" w:cs="Arial"/>
                <w:sz w:val="24"/>
                <w:szCs w:val="24"/>
              </w:rPr>
              <w:t>.</w:t>
            </w:r>
          </w:p>
        </w:tc>
      </w:tr>
      <w:tr w:rsidR="00B7603A" w:rsidRPr="007640E5" w:rsidTr="00B35FE6">
        <w:tc>
          <w:tcPr>
            <w:tcW w:w="4820" w:type="dxa"/>
          </w:tcPr>
          <w:p w:rsidR="00B7603A" w:rsidRPr="007640E5" w:rsidRDefault="00700E72" w:rsidP="00700E72">
            <w:pPr>
              <w:rPr>
                <w:rFonts w:ascii="Garamond" w:hAnsi="Garamond" w:cs="Arial"/>
                <w:b/>
                <w:lang w:val="en-CA"/>
              </w:rPr>
            </w:pPr>
            <w:r w:rsidRPr="007640E5">
              <w:rPr>
                <w:rFonts w:ascii="Garamond" w:hAnsi="Garamond" w:cs="Arial"/>
                <w:b/>
                <w:lang w:val="en-CA"/>
              </w:rPr>
              <w:t>Statistic</w:t>
            </w:r>
          </w:p>
        </w:tc>
        <w:tc>
          <w:tcPr>
            <w:tcW w:w="1559" w:type="dxa"/>
          </w:tcPr>
          <w:p w:rsidR="00B7603A" w:rsidRPr="007640E5" w:rsidRDefault="00700E72" w:rsidP="00700E72">
            <w:pPr>
              <w:jc w:val="right"/>
              <w:rPr>
                <w:rFonts w:ascii="Garamond" w:hAnsi="Garamond" w:cs="Arial"/>
                <w:b/>
                <w:lang w:val="en-CA"/>
              </w:rPr>
            </w:pPr>
            <w:r w:rsidRPr="007640E5">
              <w:rPr>
                <w:rFonts w:ascii="Garamond" w:hAnsi="Garamond" w:cs="Arial"/>
                <w:b/>
                <w:lang w:val="en-CA"/>
              </w:rPr>
              <w:t>Primary respondent</w:t>
            </w:r>
          </w:p>
        </w:tc>
        <w:tc>
          <w:tcPr>
            <w:tcW w:w="1559" w:type="dxa"/>
          </w:tcPr>
          <w:p w:rsidR="00B7603A" w:rsidRPr="007640E5" w:rsidRDefault="00700E72" w:rsidP="00700E72">
            <w:pPr>
              <w:jc w:val="right"/>
              <w:rPr>
                <w:rFonts w:ascii="Garamond" w:hAnsi="Garamond" w:cs="Arial"/>
                <w:b/>
                <w:lang w:val="en-CA"/>
              </w:rPr>
            </w:pPr>
            <w:r w:rsidRPr="007640E5">
              <w:rPr>
                <w:rFonts w:ascii="Garamond" w:hAnsi="Garamond" w:cs="Arial"/>
                <w:b/>
                <w:lang w:val="en-CA"/>
              </w:rPr>
              <w:t>Secondary respondent</w:t>
            </w:r>
          </w:p>
        </w:tc>
      </w:tr>
      <w:tr w:rsidR="00700E72" w:rsidRPr="007640E5" w:rsidTr="00B35FE6">
        <w:tc>
          <w:tcPr>
            <w:tcW w:w="4820" w:type="dxa"/>
          </w:tcPr>
          <w:p w:rsidR="00700E72" w:rsidRPr="007640E5" w:rsidRDefault="00700E72" w:rsidP="00700E72">
            <w:pPr>
              <w:rPr>
                <w:rFonts w:ascii="Garamond" w:hAnsi="Garamond"/>
              </w:rPr>
            </w:pPr>
            <w:r w:rsidRPr="007640E5">
              <w:rPr>
                <w:rFonts w:ascii="Garamond" w:hAnsi="Garamond"/>
              </w:rPr>
              <w:t>Mean</w:t>
            </w:r>
            <w:r w:rsidR="00B35FE6" w:rsidRPr="007640E5">
              <w:rPr>
                <w:rFonts w:ascii="Garamond" w:hAnsi="Garamond"/>
              </w:rPr>
              <w:t xml:space="preserve"> (weekly payment for 10 years)</w:t>
            </w:r>
          </w:p>
        </w:tc>
        <w:tc>
          <w:tcPr>
            <w:tcW w:w="1559" w:type="dxa"/>
          </w:tcPr>
          <w:p w:rsidR="00700E72" w:rsidRPr="007640E5" w:rsidRDefault="00700E72" w:rsidP="00700E72">
            <w:pPr>
              <w:jc w:val="right"/>
              <w:rPr>
                <w:rFonts w:ascii="Garamond" w:hAnsi="Garamond"/>
              </w:rPr>
            </w:pPr>
            <w:r w:rsidRPr="007640E5">
              <w:rPr>
                <w:rFonts w:ascii="Garamond" w:hAnsi="Garamond"/>
              </w:rPr>
              <w:t>$57.77</w:t>
            </w:r>
          </w:p>
        </w:tc>
        <w:tc>
          <w:tcPr>
            <w:tcW w:w="1559" w:type="dxa"/>
          </w:tcPr>
          <w:p w:rsidR="00700E72" w:rsidRPr="007640E5" w:rsidRDefault="00B35FE6" w:rsidP="00B35FE6">
            <w:pPr>
              <w:jc w:val="right"/>
              <w:rPr>
                <w:rFonts w:ascii="Garamond" w:hAnsi="Garamond" w:cs="Arial"/>
                <w:lang w:val="en-CA"/>
              </w:rPr>
            </w:pPr>
            <w:r w:rsidRPr="007640E5">
              <w:rPr>
                <w:rFonts w:ascii="Garamond" w:hAnsi="Garamond"/>
                <w:color w:val="000000"/>
              </w:rPr>
              <w:t>$</w:t>
            </w:r>
            <w:r w:rsidR="001D7F19" w:rsidRPr="007640E5">
              <w:rPr>
                <w:rFonts w:ascii="Garamond" w:hAnsi="Garamond"/>
                <w:color w:val="000000"/>
              </w:rPr>
              <w:t>81.57</w:t>
            </w:r>
          </w:p>
        </w:tc>
      </w:tr>
      <w:tr w:rsidR="00700E72" w:rsidRPr="007640E5" w:rsidTr="00B35FE6">
        <w:tc>
          <w:tcPr>
            <w:tcW w:w="4820" w:type="dxa"/>
          </w:tcPr>
          <w:p w:rsidR="00700E72" w:rsidRPr="007640E5" w:rsidRDefault="00700E72" w:rsidP="00700E72">
            <w:pPr>
              <w:rPr>
                <w:rFonts w:ascii="Garamond" w:hAnsi="Garamond"/>
              </w:rPr>
            </w:pPr>
            <w:r w:rsidRPr="007640E5">
              <w:rPr>
                <w:rFonts w:ascii="Garamond" w:hAnsi="Garamond"/>
              </w:rPr>
              <w:t>Standard Deviation</w:t>
            </w:r>
          </w:p>
        </w:tc>
        <w:tc>
          <w:tcPr>
            <w:tcW w:w="1559" w:type="dxa"/>
          </w:tcPr>
          <w:p w:rsidR="00700E72" w:rsidRPr="007640E5" w:rsidRDefault="00700E72" w:rsidP="00700E72">
            <w:pPr>
              <w:jc w:val="right"/>
              <w:rPr>
                <w:rFonts w:ascii="Garamond" w:hAnsi="Garamond"/>
              </w:rPr>
            </w:pPr>
            <w:r w:rsidRPr="007640E5">
              <w:rPr>
                <w:rFonts w:ascii="Garamond" w:hAnsi="Garamond"/>
              </w:rPr>
              <w:t>$86.94</w:t>
            </w:r>
          </w:p>
        </w:tc>
        <w:tc>
          <w:tcPr>
            <w:tcW w:w="1559" w:type="dxa"/>
          </w:tcPr>
          <w:p w:rsidR="00700E72" w:rsidRPr="007640E5" w:rsidRDefault="00706D9B" w:rsidP="00B35FE6">
            <w:pPr>
              <w:jc w:val="right"/>
              <w:rPr>
                <w:rFonts w:ascii="Garamond" w:hAnsi="Garamond" w:cs="Arial"/>
                <w:lang w:val="en-CA"/>
              </w:rPr>
            </w:pPr>
            <w:r w:rsidRPr="007640E5">
              <w:rPr>
                <w:rFonts w:ascii="Garamond" w:hAnsi="Garamond"/>
                <w:color w:val="000000"/>
              </w:rPr>
              <w:t>102.56</w:t>
            </w:r>
          </w:p>
        </w:tc>
      </w:tr>
      <w:tr w:rsidR="00700E72" w:rsidRPr="007640E5" w:rsidTr="00B35FE6">
        <w:tc>
          <w:tcPr>
            <w:tcW w:w="4820" w:type="dxa"/>
          </w:tcPr>
          <w:p w:rsidR="00700E72" w:rsidRPr="007640E5" w:rsidRDefault="00700E72" w:rsidP="00700E72">
            <w:pPr>
              <w:rPr>
                <w:rFonts w:ascii="Garamond" w:hAnsi="Garamond"/>
              </w:rPr>
            </w:pPr>
            <w:r w:rsidRPr="007640E5">
              <w:rPr>
                <w:rFonts w:ascii="Garamond" w:hAnsi="Garamond"/>
              </w:rPr>
              <w:t>Minimum</w:t>
            </w:r>
          </w:p>
        </w:tc>
        <w:tc>
          <w:tcPr>
            <w:tcW w:w="1559" w:type="dxa"/>
          </w:tcPr>
          <w:p w:rsidR="00700E72" w:rsidRPr="007640E5" w:rsidRDefault="00700E72" w:rsidP="00700E72">
            <w:pPr>
              <w:jc w:val="right"/>
              <w:rPr>
                <w:rFonts w:ascii="Garamond" w:hAnsi="Garamond"/>
              </w:rPr>
            </w:pPr>
            <w:r w:rsidRPr="007640E5">
              <w:rPr>
                <w:rFonts w:ascii="Garamond" w:hAnsi="Garamond"/>
              </w:rPr>
              <w:t>0</w:t>
            </w:r>
          </w:p>
        </w:tc>
        <w:tc>
          <w:tcPr>
            <w:tcW w:w="1559" w:type="dxa"/>
          </w:tcPr>
          <w:p w:rsidR="00700E72" w:rsidRPr="007640E5" w:rsidRDefault="00706D9B" w:rsidP="00B35FE6">
            <w:pPr>
              <w:jc w:val="right"/>
              <w:rPr>
                <w:rFonts w:ascii="Garamond" w:hAnsi="Garamond" w:cs="Arial"/>
                <w:lang w:val="en-CA"/>
              </w:rPr>
            </w:pPr>
            <w:r w:rsidRPr="007640E5">
              <w:rPr>
                <w:rFonts w:ascii="Garamond" w:hAnsi="Garamond" w:cs="Arial"/>
                <w:lang w:val="en-CA"/>
              </w:rPr>
              <w:t>0</w:t>
            </w:r>
          </w:p>
        </w:tc>
      </w:tr>
      <w:tr w:rsidR="00700E72" w:rsidRPr="007640E5" w:rsidTr="00B35FE6">
        <w:tc>
          <w:tcPr>
            <w:tcW w:w="4820" w:type="dxa"/>
          </w:tcPr>
          <w:p w:rsidR="00700E72" w:rsidRPr="007640E5" w:rsidRDefault="00700E72" w:rsidP="00700E72">
            <w:pPr>
              <w:rPr>
                <w:rFonts w:ascii="Garamond" w:hAnsi="Garamond"/>
              </w:rPr>
            </w:pPr>
            <w:r w:rsidRPr="007640E5">
              <w:rPr>
                <w:rFonts w:ascii="Garamond" w:hAnsi="Garamond"/>
              </w:rPr>
              <w:t>Maximum</w:t>
            </w:r>
          </w:p>
        </w:tc>
        <w:tc>
          <w:tcPr>
            <w:tcW w:w="1559" w:type="dxa"/>
          </w:tcPr>
          <w:p w:rsidR="00700E72" w:rsidRPr="007640E5" w:rsidRDefault="00700E72" w:rsidP="00700E72">
            <w:pPr>
              <w:jc w:val="right"/>
              <w:rPr>
                <w:rFonts w:ascii="Garamond" w:hAnsi="Garamond"/>
              </w:rPr>
            </w:pPr>
            <w:r w:rsidRPr="007640E5">
              <w:rPr>
                <w:rFonts w:ascii="Garamond" w:hAnsi="Garamond"/>
              </w:rPr>
              <w:t>$584.85</w:t>
            </w:r>
          </w:p>
        </w:tc>
        <w:tc>
          <w:tcPr>
            <w:tcW w:w="1559" w:type="dxa"/>
          </w:tcPr>
          <w:p w:rsidR="00700E72" w:rsidRPr="007640E5" w:rsidRDefault="00892F4B" w:rsidP="00B35FE6">
            <w:pPr>
              <w:jc w:val="right"/>
              <w:rPr>
                <w:rFonts w:ascii="Garamond" w:hAnsi="Garamond" w:cs="Arial"/>
                <w:lang w:val="en-CA"/>
              </w:rPr>
            </w:pPr>
            <w:r w:rsidRPr="007640E5">
              <w:rPr>
                <w:rFonts w:ascii="Garamond" w:hAnsi="Garamond"/>
                <w:color w:val="000000"/>
              </w:rPr>
              <w:t>$</w:t>
            </w:r>
            <w:r w:rsidR="00706D9B" w:rsidRPr="007640E5">
              <w:rPr>
                <w:rFonts w:ascii="Garamond" w:hAnsi="Garamond"/>
                <w:color w:val="000000"/>
              </w:rPr>
              <w:t>450</w:t>
            </w:r>
            <w:r w:rsidRPr="007640E5">
              <w:rPr>
                <w:rFonts w:ascii="Garamond" w:hAnsi="Garamond"/>
                <w:color w:val="000000"/>
              </w:rPr>
              <w:t>.00</w:t>
            </w:r>
          </w:p>
        </w:tc>
      </w:tr>
    </w:tbl>
    <w:p w:rsidR="00B35FE6" w:rsidRPr="007640E5" w:rsidRDefault="00B35FE6" w:rsidP="00320BBF">
      <w:pPr>
        <w:spacing w:after="200"/>
        <w:rPr>
          <w:rFonts w:ascii="Garamond" w:hAnsi="Garamond"/>
          <w:lang w:val="en-CA"/>
        </w:rPr>
      </w:pPr>
    </w:p>
    <w:p w:rsidR="00B35FE6" w:rsidRPr="007640E5" w:rsidRDefault="00B35FE6" w:rsidP="00320BBF">
      <w:pPr>
        <w:spacing w:after="200"/>
        <w:rPr>
          <w:rFonts w:ascii="Garamond" w:hAnsi="Garamond"/>
          <w:lang w:val="en-CA"/>
        </w:rPr>
      </w:pPr>
      <w:r w:rsidRPr="007640E5">
        <w:rPr>
          <w:rFonts w:ascii="Garamond" w:hAnsi="Garamond"/>
          <w:lang w:val="en-CA"/>
        </w:rPr>
        <w:fldChar w:fldCharType="begin"/>
      </w:r>
      <w:r w:rsidRPr="007640E5">
        <w:rPr>
          <w:rFonts w:ascii="Garamond" w:hAnsi="Garamond"/>
          <w:lang w:val="en-CA"/>
        </w:rPr>
        <w:instrText xml:space="preserve"> REF _Ref420585494 \h </w:instrText>
      </w:r>
      <w:r w:rsidR="007640E5">
        <w:rPr>
          <w:rFonts w:ascii="Garamond" w:hAnsi="Garamond"/>
          <w:lang w:val="en-CA"/>
        </w:rPr>
        <w:instrText xml:space="preserve"> \* MERGEFORMAT </w:instrText>
      </w:r>
      <w:r w:rsidRPr="007640E5">
        <w:rPr>
          <w:rFonts w:ascii="Garamond" w:hAnsi="Garamond"/>
          <w:lang w:val="en-CA"/>
        </w:rPr>
      </w:r>
      <w:r w:rsidRPr="007640E5">
        <w:rPr>
          <w:rFonts w:ascii="Garamond" w:hAnsi="Garamond"/>
          <w:lang w:val="en-CA"/>
        </w:rPr>
        <w:fldChar w:fldCharType="separate"/>
      </w:r>
      <w:r w:rsidR="00AF72C2" w:rsidRPr="007640E5">
        <w:rPr>
          <w:rFonts w:ascii="Garamond" w:hAnsi="Garamond" w:cs="Arial"/>
        </w:rPr>
        <w:t xml:space="preserve">Table </w:t>
      </w:r>
      <w:r w:rsidR="00AF72C2">
        <w:rPr>
          <w:rFonts w:ascii="Garamond" w:hAnsi="Garamond" w:cs="Arial"/>
          <w:noProof/>
        </w:rPr>
        <w:t>5</w:t>
      </w:r>
      <w:r w:rsidRPr="007640E5">
        <w:rPr>
          <w:rFonts w:ascii="Garamond" w:hAnsi="Garamond"/>
          <w:lang w:val="en-CA"/>
        </w:rPr>
        <w:fldChar w:fldCharType="end"/>
      </w:r>
      <w:r w:rsidRPr="007640E5">
        <w:rPr>
          <w:rFonts w:ascii="Garamond" w:hAnsi="Garamond"/>
          <w:lang w:val="en-CA"/>
        </w:rPr>
        <w:t xml:space="preserve"> suggests some preliminary hypotheses to explore:</w:t>
      </w:r>
    </w:p>
    <w:p w:rsidR="00B35FE6" w:rsidRPr="007640E5" w:rsidRDefault="00B35FE6" w:rsidP="00B35FE6">
      <w:pPr>
        <w:pStyle w:val="ListParagraph"/>
        <w:numPr>
          <w:ilvl w:val="0"/>
          <w:numId w:val="18"/>
        </w:numPr>
        <w:spacing w:after="200"/>
        <w:rPr>
          <w:rFonts w:ascii="Garamond" w:hAnsi="Garamond"/>
          <w:lang w:val="en-CA"/>
        </w:rPr>
      </w:pPr>
      <w:r w:rsidRPr="007640E5">
        <w:rPr>
          <w:rFonts w:ascii="Garamond" w:hAnsi="Garamond"/>
          <w:lang w:val="en-CA"/>
        </w:rPr>
        <w:t>The difference between WTP for primary and secondary respondents is interesting.  On the face, this suggests that secondary respondents (often a spouse, child, or parent</w:t>
      </w:r>
      <w:r w:rsidR="00B11612">
        <w:rPr>
          <w:rFonts w:ascii="Garamond" w:hAnsi="Garamond"/>
          <w:lang w:val="en-CA"/>
        </w:rPr>
        <w:t xml:space="preserve">) </w:t>
      </w:r>
      <w:r w:rsidR="00B11612" w:rsidRPr="007640E5">
        <w:rPr>
          <w:rFonts w:ascii="Garamond" w:hAnsi="Garamond"/>
          <w:lang w:val="en-CA"/>
        </w:rPr>
        <w:t>have</w:t>
      </w:r>
      <w:r w:rsidRPr="007640E5">
        <w:rPr>
          <w:rFonts w:ascii="Garamond" w:hAnsi="Garamond"/>
          <w:lang w:val="en-CA"/>
        </w:rPr>
        <w:t xml:space="preserve"> a higher valuation of the injury impact than </w:t>
      </w:r>
      <w:r w:rsidR="00B11612">
        <w:rPr>
          <w:rFonts w:ascii="Garamond" w:hAnsi="Garamond"/>
          <w:lang w:val="en-CA"/>
        </w:rPr>
        <w:t xml:space="preserve">does </w:t>
      </w:r>
      <w:r w:rsidRPr="007640E5">
        <w:rPr>
          <w:rFonts w:ascii="Garamond" w:hAnsi="Garamond"/>
          <w:lang w:val="en-CA"/>
        </w:rPr>
        <w:t xml:space="preserve">the worker.  </w:t>
      </w:r>
    </w:p>
    <w:p w:rsidR="00B35FE6" w:rsidRPr="007640E5" w:rsidRDefault="00B35FE6" w:rsidP="00B35FE6">
      <w:pPr>
        <w:pStyle w:val="ListParagraph"/>
        <w:numPr>
          <w:ilvl w:val="0"/>
          <w:numId w:val="18"/>
        </w:numPr>
        <w:spacing w:after="200"/>
        <w:rPr>
          <w:rFonts w:ascii="Garamond" w:hAnsi="Garamond"/>
          <w:lang w:val="en-CA"/>
        </w:rPr>
      </w:pPr>
      <w:r w:rsidRPr="007640E5">
        <w:rPr>
          <w:rFonts w:ascii="Garamond" w:hAnsi="Garamond"/>
          <w:lang w:val="en-CA"/>
        </w:rPr>
        <w:lastRenderedPageBreak/>
        <w:t>Many workers and secondary respondents were unwilling to pay anything. The obvious conjecture is that the severity of the accident and injury recovery complexity/duration</w:t>
      </w:r>
      <w:r w:rsidR="00892F4B" w:rsidRPr="007640E5">
        <w:rPr>
          <w:rFonts w:ascii="Garamond" w:hAnsi="Garamond"/>
          <w:lang w:val="en-CA"/>
        </w:rPr>
        <w:t>, age of respondents, and number of dependents would be factors.</w:t>
      </w:r>
    </w:p>
    <w:p w:rsidR="00892F4B" w:rsidRDefault="00892F4B" w:rsidP="00B35FE6">
      <w:pPr>
        <w:pStyle w:val="ListParagraph"/>
        <w:numPr>
          <w:ilvl w:val="0"/>
          <w:numId w:val="18"/>
        </w:numPr>
        <w:spacing w:after="200"/>
        <w:rPr>
          <w:rFonts w:ascii="Garamond" w:hAnsi="Garamond"/>
          <w:lang w:val="en-CA"/>
        </w:rPr>
      </w:pPr>
      <w:r w:rsidRPr="007640E5">
        <w:rPr>
          <w:rFonts w:ascii="Garamond" w:hAnsi="Garamond"/>
          <w:lang w:val="en-CA"/>
        </w:rPr>
        <w:t>Current employment status and whether the respondent had returned to the same or equivalent employment are potentially important explanatory factors</w:t>
      </w:r>
    </w:p>
    <w:p w:rsidR="001D2BB0" w:rsidRPr="007640E5" w:rsidRDefault="001D2BB0" w:rsidP="00B35FE6">
      <w:pPr>
        <w:pStyle w:val="ListParagraph"/>
        <w:numPr>
          <w:ilvl w:val="0"/>
          <w:numId w:val="18"/>
        </w:numPr>
        <w:spacing w:after="200"/>
        <w:rPr>
          <w:rFonts w:ascii="Garamond" w:hAnsi="Garamond"/>
          <w:lang w:val="en-CA"/>
        </w:rPr>
      </w:pPr>
      <w:r>
        <w:rPr>
          <w:rFonts w:ascii="Garamond" w:hAnsi="Garamond"/>
          <w:lang w:val="en-CA"/>
        </w:rPr>
        <w:t>The time since the accident may influence valuation as memory fades, despite using a series of questions to prompt recall.</w:t>
      </w:r>
    </w:p>
    <w:p w:rsidR="00B35FE6" w:rsidRPr="007640E5" w:rsidRDefault="00892F4B" w:rsidP="00320BBF">
      <w:pPr>
        <w:spacing w:after="200"/>
        <w:rPr>
          <w:rFonts w:ascii="Garamond" w:hAnsi="Garamond"/>
          <w:lang w:val="en-CA"/>
        </w:rPr>
      </w:pPr>
      <w:r w:rsidRPr="007640E5">
        <w:rPr>
          <w:rFonts w:ascii="Garamond" w:hAnsi="Garamond"/>
          <w:lang w:val="en-CA"/>
        </w:rPr>
        <w:t xml:space="preserve">Next steps </w:t>
      </w:r>
      <w:r w:rsidR="00D64264">
        <w:rPr>
          <w:rFonts w:ascii="Garamond" w:hAnsi="Garamond"/>
          <w:lang w:val="en-CA"/>
        </w:rPr>
        <w:t xml:space="preserve">will </w:t>
      </w:r>
      <w:r w:rsidRPr="007640E5">
        <w:rPr>
          <w:rFonts w:ascii="Garamond" w:hAnsi="Garamond"/>
          <w:lang w:val="en-CA"/>
        </w:rPr>
        <w:t>involve continued data reconciliation (the data merge remains incomplete) and multivariate analysis.</w:t>
      </w:r>
    </w:p>
    <w:p w:rsidR="00AF72C2" w:rsidRDefault="00AF72C2">
      <w:pPr>
        <w:spacing w:after="200" w:line="276" w:lineRule="auto"/>
        <w:rPr>
          <w:rFonts w:ascii="Garamond" w:hAnsi="Garamond"/>
          <w:sz w:val="28"/>
          <w:szCs w:val="28"/>
          <w:lang w:val="en-CA"/>
        </w:rPr>
      </w:pPr>
      <w:r>
        <w:rPr>
          <w:rFonts w:ascii="Garamond" w:hAnsi="Garamond"/>
          <w:sz w:val="28"/>
          <w:szCs w:val="28"/>
          <w:lang w:val="en-CA"/>
        </w:rPr>
        <w:br w:type="page"/>
      </w:r>
    </w:p>
    <w:p w:rsidR="00D64264" w:rsidRDefault="00D64264">
      <w:pPr>
        <w:spacing w:after="200" w:line="276" w:lineRule="auto"/>
        <w:rPr>
          <w:rFonts w:ascii="Garamond" w:hAnsi="Garamond"/>
          <w:b/>
          <w:sz w:val="28"/>
          <w:szCs w:val="28"/>
          <w:lang w:val="en-CA"/>
        </w:rPr>
      </w:pPr>
      <w:r w:rsidRPr="00D64264">
        <w:rPr>
          <w:rFonts w:ascii="Garamond" w:hAnsi="Garamond"/>
          <w:b/>
          <w:sz w:val="28"/>
          <w:szCs w:val="28"/>
          <w:lang w:val="en-CA"/>
        </w:rPr>
        <w:lastRenderedPageBreak/>
        <w:t>Annex A – Sequential bid questions</w:t>
      </w:r>
    </w:p>
    <w:tbl>
      <w:tblPr>
        <w:tblStyle w:val="TableGrid"/>
        <w:tblW w:w="0" w:type="auto"/>
        <w:tblLook w:val="04A0" w:firstRow="1" w:lastRow="0" w:firstColumn="1" w:lastColumn="0" w:noHBand="0" w:noVBand="1"/>
      </w:tblPr>
      <w:tblGrid>
        <w:gridCol w:w="9350"/>
      </w:tblGrid>
      <w:tr w:rsidR="00D64264" w:rsidTr="00D64264">
        <w:tc>
          <w:tcPr>
            <w:tcW w:w="9576" w:type="dxa"/>
          </w:tcPr>
          <w:p w:rsidR="00D64264" w:rsidRPr="00D64264" w:rsidRDefault="00D64264" w:rsidP="00D64264">
            <w:pPr>
              <w:rPr>
                <w:rFonts w:eastAsiaTheme="minorHAnsi"/>
                <w:b/>
                <w:szCs w:val="22"/>
                <w:lang w:val="en-CA"/>
              </w:rPr>
            </w:pPr>
            <w:r w:rsidRPr="00D64264">
              <w:rPr>
                <w:rFonts w:eastAsiaTheme="minorHAnsi"/>
                <w:b/>
                <w:szCs w:val="22"/>
                <w:lang w:val="en-CA"/>
              </w:rPr>
              <w:t>Sequential bid process (Primary Respondents)</w:t>
            </w:r>
          </w:p>
          <w:p w:rsidR="00D64264" w:rsidRDefault="00D64264" w:rsidP="00D64264">
            <w:pPr>
              <w:rPr>
                <w:rFonts w:ascii="Garamond" w:eastAsiaTheme="minorHAnsi" w:hAnsi="Garamond"/>
                <w:sz w:val="20"/>
                <w:szCs w:val="20"/>
                <w:lang w:val="en-CA"/>
              </w:rPr>
            </w:pPr>
          </w:p>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I am now going to ask you some questions about how much you would be willing to pay to avoid your injury symptoms. In reality, it is likely very hard to think of these things in terms of dollars. However, is important that we try to estimate the costs of changes in your life.</w:t>
            </w:r>
          </w:p>
          <w:p w:rsidR="00D64264" w:rsidRPr="00D64264" w:rsidRDefault="00D64264" w:rsidP="00D64264">
            <w:pPr>
              <w:rPr>
                <w:rFonts w:ascii="Garamond" w:eastAsiaTheme="minorHAnsi" w:hAnsi="Garamond"/>
                <w:sz w:val="20"/>
                <w:szCs w:val="20"/>
                <w:lang w:val="en-CA"/>
              </w:rPr>
            </w:pPr>
          </w:p>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Knowing what you now know about the injury and recovery process that you had to go through, I would like you to think back to the time when you were first injured. Imagine that immediately after, someone offered you a quick and painless treatment that would let you recover immediately and avoid all of the necessary recovery time actually required for your injury.</w:t>
            </w:r>
          </w:p>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1815"/>
              <w:gridCol w:w="699"/>
              <w:gridCol w:w="5739"/>
            </w:tblGrid>
            <w:tr w:rsidR="00D64264" w:rsidRPr="00D64264" w:rsidTr="00E3513F">
              <w:tc>
                <w:tcPr>
                  <w:tcW w:w="9576" w:type="dxa"/>
                  <w:gridSpan w:val="4"/>
                </w:tcPr>
                <w:p w:rsidR="00D64264" w:rsidRPr="00D64264" w:rsidRDefault="00D64264" w:rsidP="00D64264">
                  <w:pPr>
                    <w:numPr>
                      <w:ilvl w:val="0"/>
                      <w:numId w:val="17"/>
                    </w:numPr>
                    <w:contextualSpacing/>
                    <w:rPr>
                      <w:rFonts w:ascii="Garamond" w:eastAsiaTheme="minorHAnsi" w:hAnsi="Garamond"/>
                      <w:sz w:val="20"/>
                      <w:szCs w:val="20"/>
                      <w:lang w:val="en-CA"/>
                    </w:rPr>
                  </w:pPr>
                  <w:r w:rsidRPr="00D64264">
                    <w:rPr>
                      <w:rFonts w:ascii="Garamond" w:eastAsiaTheme="minorHAnsi" w:hAnsi="Garamond"/>
                      <w:sz w:val="20"/>
                      <w:szCs w:val="20"/>
                      <w:lang w:val="en-CA"/>
                    </w:rPr>
                    <w:t>[If don’t know in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_Ref390084218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 xml:space="preserve">If this person asked for 10% of your annual employment income for the next 10 years, would you have been willing to pay them? </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[If they answered Q8 or said yes to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_Ref389827170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If this person asked for 10% of your annual employment income for the next 10 years, would you have been willing to pay them? Based on your earlier responses, 10% would have been about [10% of annual income from WCB records in question 7 or answer to question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_Ref390084218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per year.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Yes</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1</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 xml:space="preserve">[Go to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_Ref390163227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sz w:val="20"/>
                      <w:szCs w:val="20"/>
                      <w:lang w:val="en-CA"/>
                    </w:rPr>
                    <w:t>5</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No</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0</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 xml:space="preserve">[Go to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_Ref390163232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sz w:val="20"/>
                      <w:szCs w:val="20"/>
                      <w:lang w:val="en-CA"/>
                    </w:rPr>
                    <w:t>4</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tc>
            </w:tr>
          </w:tbl>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811"/>
              <w:gridCol w:w="697"/>
              <w:gridCol w:w="5748"/>
            </w:tblGrid>
            <w:tr w:rsidR="00D64264" w:rsidRPr="00D64264" w:rsidTr="00E3513F">
              <w:tc>
                <w:tcPr>
                  <w:tcW w:w="9576" w:type="dxa"/>
                  <w:gridSpan w:val="4"/>
                </w:tcPr>
                <w:p w:rsidR="00D64264" w:rsidRPr="00D64264" w:rsidRDefault="00D64264" w:rsidP="00D64264">
                  <w:pPr>
                    <w:numPr>
                      <w:ilvl w:val="0"/>
                      <w:numId w:val="17"/>
                    </w:numPr>
                    <w:contextualSpacing/>
                    <w:rPr>
                      <w:rFonts w:ascii="Garamond" w:eastAsiaTheme="minorHAnsi" w:hAnsi="Garamond"/>
                      <w:sz w:val="20"/>
                      <w:szCs w:val="20"/>
                      <w:lang w:val="en-CA"/>
                    </w:rPr>
                  </w:pPr>
                  <w:bookmarkStart w:id="17" w:name="_Ref390163232"/>
                  <w:r w:rsidRPr="00D64264">
                    <w:rPr>
                      <w:rFonts w:ascii="Garamond" w:eastAsiaTheme="minorHAnsi" w:hAnsi="Garamond"/>
                      <w:sz w:val="20"/>
                      <w:szCs w:val="20"/>
                      <w:lang w:val="en-CA"/>
                    </w:rPr>
                    <w:t>[If don’t know in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_Ref390084218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 xml:space="preserve">…how about 5% of your annual income for the next 10 years? </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[If they answered 8 or said yes to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_Ref389827170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…how about 5% of your annual income for the next 10 years? Based on your earlier responses, 5% would have been about [5% of annual income from WCB records in question 7 or answer to question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_Ref390084218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per year.</w:t>
                  </w:r>
                  <w:bookmarkEnd w:id="17"/>
                  <w:r w:rsidRPr="00D64264">
                    <w:rPr>
                      <w:rFonts w:ascii="Garamond" w:eastAsiaTheme="minorHAnsi" w:hAnsi="Garamond"/>
                      <w:sz w:val="20"/>
                      <w:szCs w:val="20"/>
                      <w:lang w:val="en-CA"/>
                    </w:rPr>
                    <w:t xml:space="preserve">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Yes</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1</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[Go to Section 7]</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No</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0</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 xml:space="preserve">[Go to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_Ref390163246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sz w:val="20"/>
                      <w:szCs w:val="20"/>
                      <w:lang w:val="en-CA"/>
                    </w:rPr>
                    <w:t>6</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tc>
            </w:tr>
          </w:tbl>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811"/>
              <w:gridCol w:w="697"/>
              <w:gridCol w:w="5748"/>
            </w:tblGrid>
            <w:tr w:rsidR="00D64264" w:rsidRPr="00D64264" w:rsidTr="00E3513F">
              <w:tc>
                <w:tcPr>
                  <w:tcW w:w="9576" w:type="dxa"/>
                  <w:gridSpan w:val="4"/>
                </w:tcPr>
                <w:p w:rsidR="00D64264" w:rsidRPr="00D64264" w:rsidRDefault="00D64264" w:rsidP="00D64264">
                  <w:pPr>
                    <w:numPr>
                      <w:ilvl w:val="0"/>
                      <w:numId w:val="17"/>
                    </w:numPr>
                    <w:contextualSpacing/>
                    <w:rPr>
                      <w:rFonts w:ascii="Garamond" w:eastAsiaTheme="minorHAnsi" w:hAnsi="Garamond"/>
                      <w:sz w:val="20"/>
                      <w:szCs w:val="20"/>
                      <w:lang w:val="en-CA"/>
                    </w:rPr>
                  </w:pPr>
                  <w:bookmarkStart w:id="18" w:name="_Ref390163227"/>
                  <w:r w:rsidRPr="00D64264">
                    <w:rPr>
                      <w:rFonts w:ascii="Garamond" w:eastAsiaTheme="minorHAnsi" w:hAnsi="Garamond"/>
                      <w:sz w:val="20"/>
                      <w:szCs w:val="20"/>
                      <w:lang w:val="en-CA"/>
                    </w:rPr>
                    <w:t>[If don’t know in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_Ref390084218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 xml:space="preserve">…how about 15% of your annual income for the next 10 years? </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[If they answered 8 or said yes to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_Ref389827170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…how about 15% of your annual income for the next 10 years? Based on your earlier responses, 15% would have been about [15% of annual income from WCB records in question 7 or answer to question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_Ref390084218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per year.</w:t>
                  </w:r>
                  <w:bookmarkEnd w:id="18"/>
                  <w:r w:rsidRPr="00D64264">
                    <w:rPr>
                      <w:rFonts w:ascii="Garamond" w:eastAsiaTheme="minorHAnsi" w:hAnsi="Garamond"/>
                      <w:sz w:val="20"/>
                      <w:szCs w:val="20"/>
                      <w:lang w:val="en-CA"/>
                    </w:rPr>
                    <w:t xml:space="preserve">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Yes</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1</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 xml:space="preserve">[Go to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_Ref390163246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sz w:val="20"/>
                      <w:szCs w:val="20"/>
                      <w:lang w:val="en-CA"/>
                    </w:rPr>
                    <w:t>6</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No</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0</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[Go to Section 7]</w:t>
                  </w:r>
                </w:p>
              </w:tc>
            </w:tr>
          </w:tbl>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865"/>
              <w:gridCol w:w="693"/>
              <w:gridCol w:w="5703"/>
            </w:tblGrid>
            <w:tr w:rsidR="00D64264" w:rsidRPr="00D64264" w:rsidTr="00E3513F">
              <w:tc>
                <w:tcPr>
                  <w:tcW w:w="9576" w:type="dxa"/>
                  <w:gridSpan w:val="4"/>
                </w:tcPr>
                <w:p w:rsidR="00D64264" w:rsidRPr="00D64264" w:rsidRDefault="00D64264" w:rsidP="00D64264">
                  <w:pPr>
                    <w:numPr>
                      <w:ilvl w:val="0"/>
                      <w:numId w:val="17"/>
                    </w:numPr>
                    <w:contextualSpacing/>
                    <w:rPr>
                      <w:rFonts w:ascii="Garamond" w:eastAsiaTheme="minorHAnsi" w:hAnsi="Garamond"/>
                      <w:sz w:val="20"/>
                      <w:szCs w:val="20"/>
                      <w:lang w:val="en-CA"/>
                    </w:rPr>
                  </w:pPr>
                  <w:bookmarkStart w:id="19" w:name="_Ref390163246"/>
                  <w:r w:rsidRPr="00D64264">
                    <w:rPr>
                      <w:rFonts w:ascii="Garamond" w:eastAsiaTheme="minorHAnsi" w:hAnsi="Garamond"/>
                      <w:sz w:val="20"/>
                      <w:szCs w:val="20"/>
                      <w:lang w:val="en-CA"/>
                    </w:rPr>
                    <w:t>[If don’t know in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_Ref390084218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otherwise skip to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_Ref393289137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sz w:val="20"/>
                      <w:szCs w:val="20"/>
                      <w:lang w:val="en-CA"/>
                    </w:rPr>
                    <w:t>7</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What is the highest percentage of your annual employment income that you would have been willing to pay?</w:t>
                  </w:r>
                  <w:bookmarkEnd w:id="19"/>
                  <w:r w:rsidRPr="00D64264">
                    <w:rPr>
                      <w:rFonts w:ascii="Garamond" w:eastAsiaTheme="minorHAnsi" w:hAnsi="Garamond"/>
                      <w:sz w:val="20"/>
                      <w:szCs w:val="20"/>
                      <w:lang w:val="en-CA"/>
                    </w:rPr>
                    <w:t xml:space="preserve">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_____________</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6</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[Go to Section 7]</w:t>
                  </w:r>
                </w:p>
              </w:tc>
            </w:tr>
          </w:tbl>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865"/>
              <w:gridCol w:w="693"/>
              <w:gridCol w:w="5703"/>
            </w:tblGrid>
            <w:tr w:rsidR="00D64264" w:rsidRPr="00D64264" w:rsidTr="00E3513F">
              <w:tc>
                <w:tcPr>
                  <w:tcW w:w="9576" w:type="dxa"/>
                  <w:gridSpan w:val="4"/>
                </w:tcPr>
                <w:p w:rsidR="00D64264" w:rsidRPr="00D64264" w:rsidRDefault="00D64264" w:rsidP="00D64264">
                  <w:pPr>
                    <w:numPr>
                      <w:ilvl w:val="0"/>
                      <w:numId w:val="17"/>
                    </w:numPr>
                    <w:contextualSpacing/>
                    <w:rPr>
                      <w:rFonts w:ascii="Garamond" w:eastAsiaTheme="minorHAnsi" w:hAnsi="Garamond"/>
                      <w:sz w:val="20"/>
                      <w:szCs w:val="20"/>
                      <w:lang w:val="en-CA"/>
                    </w:rPr>
                  </w:pPr>
                  <w:bookmarkStart w:id="20" w:name="_Ref393289137"/>
                  <w:r w:rsidRPr="00D64264">
                    <w:rPr>
                      <w:rFonts w:ascii="Garamond" w:eastAsiaTheme="minorHAnsi" w:hAnsi="Garamond"/>
                      <w:sz w:val="20"/>
                      <w:szCs w:val="20"/>
                      <w:lang w:val="en-CA"/>
                    </w:rPr>
                    <w:t>What is the most that you would have been willing to pay?</w:t>
                  </w:r>
                  <w:bookmarkEnd w:id="20"/>
                  <w:r w:rsidRPr="00D64264">
                    <w:rPr>
                      <w:rFonts w:ascii="Garamond" w:eastAsiaTheme="minorHAnsi" w:hAnsi="Garamond"/>
                      <w:sz w:val="20"/>
                      <w:szCs w:val="20"/>
                      <w:lang w:val="en-CA"/>
                    </w:rPr>
                    <w:t xml:space="preserve">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_____________</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6</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[Go to Section 7]</w:t>
                  </w:r>
                </w:p>
              </w:tc>
            </w:tr>
          </w:tbl>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1856"/>
              <w:gridCol w:w="701"/>
              <w:gridCol w:w="5701"/>
            </w:tblGrid>
            <w:tr w:rsidR="00D64264" w:rsidRPr="00D64264" w:rsidTr="00E3513F">
              <w:tc>
                <w:tcPr>
                  <w:tcW w:w="9576" w:type="dxa"/>
                  <w:gridSpan w:val="4"/>
                </w:tcPr>
                <w:p w:rsidR="00D64264" w:rsidRPr="00D64264" w:rsidRDefault="00D64264" w:rsidP="00D64264">
                  <w:pPr>
                    <w:numPr>
                      <w:ilvl w:val="0"/>
                      <w:numId w:val="17"/>
                    </w:numPr>
                    <w:contextualSpacing/>
                    <w:rPr>
                      <w:rFonts w:ascii="Garamond" w:eastAsiaTheme="minorHAnsi" w:hAnsi="Garamond"/>
                      <w:sz w:val="20"/>
                      <w:szCs w:val="20"/>
                      <w:lang w:val="en-CA"/>
                    </w:rPr>
                  </w:pPr>
                  <w:r w:rsidRPr="00D64264">
                    <w:rPr>
                      <w:rFonts w:ascii="Garamond" w:eastAsiaTheme="minorHAnsi" w:hAnsi="Garamond"/>
                      <w:sz w:val="20"/>
                      <w:szCs w:val="20"/>
                      <w:lang w:val="en-CA"/>
                    </w:rPr>
                    <w:t>Do you have any other comments about your injury or recovery process that you would like to share with us?</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___________</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66</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 xml:space="preserve">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No</w:t>
                  </w:r>
                </w:p>
              </w:tc>
              <w:tc>
                <w:tcPr>
                  <w:tcW w:w="720" w:type="dxa"/>
                </w:tcPr>
                <w:p w:rsid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0</w:t>
                  </w:r>
                </w:p>
                <w:p w:rsidR="00D64264" w:rsidRDefault="00D64264" w:rsidP="00D64264">
                  <w:pPr>
                    <w:rPr>
                      <w:rFonts w:ascii="Garamond" w:eastAsiaTheme="minorHAnsi" w:hAnsi="Garamond"/>
                      <w:sz w:val="20"/>
                      <w:szCs w:val="20"/>
                      <w:lang w:val="en-CA"/>
                    </w:rPr>
                  </w:pPr>
                </w:p>
                <w:p w:rsidR="00D64264" w:rsidRDefault="00D64264" w:rsidP="00D64264">
                  <w:pPr>
                    <w:rPr>
                      <w:rFonts w:ascii="Garamond" w:eastAsiaTheme="minorHAnsi" w:hAnsi="Garamond"/>
                      <w:sz w:val="20"/>
                      <w:szCs w:val="20"/>
                      <w:lang w:val="en-CA"/>
                    </w:rPr>
                  </w:pPr>
                </w:p>
                <w:p w:rsidR="00D64264" w:rsidRDefault="00D64264" w:rsidP="00D64264">
                  <w:pPr>
                    <w:rPr>
                      <w:rFonts w:ascii="Garamond" w:eastAsiaTheme="minorHAnsi" w:hAnsi="Garamond"/>
                      <w:sz w:val="20"/>
                      <w:szCs w:val="20"/>
                      <w:lang w:val="en-CA"/>
                    </w:rPr>
                  </w:pPr>
                </w:p>
                <w:p w:rsidR="00D64264" w:rsidRPr="00D64264" w:rsidRDefault="00D64264" w:rsidP="00D64264">
                  <w:pPr>
                    <w:rPr>
                      <w:rFonts w:ascii="Garamond" w:eastAsiaTheme="minorHAnsi" w:hAnsi="Garamond"/>
                      <w:sz w:val="20"/>
                      <w:szCs w:val="20"/>
                      <w:lang w:val="en-CA"/>
                    </w:rPr>
                  </w:pPr>
                </w:p>
                <w:p w:rsidR="00D64264" w:rsidRPr="00D64264" w:rsidRDefault="00D64264" w:rsidP="00D64264">
                  <w:pPr>
                    <w:rPr>
                      <w:rFonts w:ascii="Garamond" w:eastAsiaTheme="minorHAnsi" w:hAnsi="Garamond"/>
                      <w:sz w:val="20"/>
                      <w:szCs w:val="20"/>
                      <w:lang w:val="en-CA"/>
                    </w:rPr>
                  </w:pPr>
                </w:p>
              </w:tc>
              <w:tc>
                <w:tcPr>
                  <w:tcW w:w="6048" w:type="dxa"/>
                </w:tcPr>
                <w:p w:rsidR="00D64264" w:rsidRPr="00D64264" w:rsidRDefault="00D64264" w:rsidP="00D64264">
                  <w:pPr>
                    <w:rPr>
                      <w:rFonts w:ascii="Garamond" w:eastAsiaTheme="minorHAnsi" w:hAnsi="Garamond"/>
                      <w:sz w:val="20"/>
                      <w:szCs w:val="20"/>
                      <w:lang w:val="en-CA"/>
                    </w:rPr>
                  </w:pPr>
                </w:p>
              </w:tc>
            </w:tr>
          </w:tbl>
          <w:p w:rsidR="00D64264" w:rsidRPr="00D64264" w:rsidRDefault="00D64264" w:rsidP="00D64264">
            <w:pPr>
              <w:rPr>
                <w:rFonts w:ascii="Garamond" w:eastAsiaTheme="minorHAnsi" w:hAnsi="Garamond"/>
                <w:b/>
                <w:szCs w:val="20"/>
                <w:lang w:val="en-CA"/>
              </w:rPr>
            </w:pPr>
            <w:r w:rsidRPr="00D64264">
              <w:rPr>
                <w:rFonts w:ascii="Garamond" w:eastAsiaTheme="minorHAnsi" w:hAnsi="Garamond"/>
                <w:b/>
                <w:szCs w:val="20"/>
                <w:lang w:val="en-CA"/>
              </w:rPr>
              <w:lastRenderedPageBreak/>
              <w:t>Sequential bid process (Secondary Respondents)</w:t>
            </w:r>
          </w:p>
          <w:p w:rsidR="00D64264" w:rsidRDefault="00D64264" w:rsidP="00D64264">
            <w:pPr>
              <w:rPr>
                <w:rFonts w:ascii="Garamond" w:eastAsiaTheme="minorHAnsi" w:hAnsi="Garamond"/>
                <w:sz w:val="20"/>
                <w:szCs w:val="20"/>
                <w:lang w:val="en-CA"/>
              </w:rPr>
            </w:pPr>
          </w:p>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I am now going to ask you some questions about how much you would be willing to pay to avoid [name of</w:t>
            </w:r>
            <w:r w:rsidRPr="00D64264">
              <w:rPr>
                <w:rFonts w:ascii="Garamond" w:eastAsiaTheme="minorHAnsi" w:hAnsi="Garamond"/>
                <w:b/>
                <w:i/>
                <w:sz w:val="20"/>
                <w:szCs w:val="20"/>
                <w:lang w:val="en-CA"/>
              </w:rPr>
              <w:t xml:space="preserve"> primary respondent</w:t>
            </w:r>
            <w:r w:rsidRPr="00D64264">
              <w:rPr>
                <w:rFonts w:ascii="Garamond" w:eastAsiaTheme="minorHAnsi" w:hAnsi="Garamond"/>
                <w:sz w:val="20"/>
                <w:szCs w:val="20"/>
                <w:lang w:val="en-CA"/>
              </w:rPr>
              <w:t>]’s injury and all the changes that came afterward. In reality, it is likely very hard to think about these things in terms of dollars. However, it is important that we try to estimate the costs of changes in your life.</w:t>
            </w:r>
          </w:p>
          <w:p w:rsidR="00D64264" w:rsidRPr="00D64264" w:rsidRDefault="00D64264" w:rsidP="00D64264">
            <w:pPr>
              <w:rPr>
                <w:rFonts w:ascii="Garamond" w:eastAsiaTheme="minorHAnsi" w:hAnsi="Garamond"/>
                <w:sz w:val="20"/>
                <w:szCs w:val="20"/>
                <w:lang w:val="en-CA"/>
              </w:rPr>
            </w:pPr>
          </w:p>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Knowing what you now know about [name of</w:t>
            </w:r>
            <w:r w:rsidRPr="00D64264">
              <w:rPr>
                <w:rFonts w:ascii="Garamond" w:eastAsiaTheme="minorHAnsi" w:hAnsi="Garamond"/>
                <w:b/>
                <w:i/>
                <w:sz w:val="20"/>
                <w:szCs w:val="20"/>
                <w:lang w:val="en-CA"/>
              </w:rPr>
              <w:t xml:space="preserve"> primary respondent</w:t>
            </w:r>
            <w:r w:rsidRPr="00D64264">
              <w:rPr>
                <w:rFonts w:ascii="Garamond" w:eastAsiaTheme="minorHAnsi" w:hAnsi="Garamond"/>
                <w:sz w:val="20"/>
                <w:szCs w:val="20"/>
                <w:lang w:val="en-CA"/>
              </w:rPr>
              <w:t>]’s injury and what you had to go through afterward, I would like you to think back to the time when the injury happened. Imagine that immediately after, someone offered a quick and painless treatment that would let [name of</w:t>
            </w:r>
            <w:r w:rsidRPr="00D64264">
              <w:rPr>
                <w:rFonts w:ascii="Garamond" w:eastAsiaTheme="minorHAnsi" w:hAnsi="Garamond"/>
                <w:b/>
                <w:i/>
                <w:sz w:val="20"/>
                <w:szCs w:val="20"/>
                <w:lang w:val="en-CA"/>
              </w:rPr>
              <w:t xml:space="preserve"> primary respondent</w:t>
            </w:r>
            <w:r w:rsidRPr="00D64264">
              <w:rPr>
                <w:rFonts w:ascii="Garamond" w:eastAsiaTheme="minorHAnsi" w:hAnsi="Garamond"/>
                <w:sz w:val="20"/>
                <w:szCs w:val="20"/>
                <w:lang w:val="en-CA"/>
              </w:rPr>
              <w:t>] recover immediately and avoid all of the necessary recovery time actually required for the injury. With this treatment, you would be able to avoid all the changes that occurred in your own life as a result of the injury. Please also imagine that you had to pay for this treatment from your total household income.</w:t>
            </w:r>
          </w:p>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1815"/>
              <w:gridCol w:w="698"/>
              <w:gridCol w:w="5740"/>
            </w:tblGrid>
            <w:tr w:rsidR="00D64264" w:rsidRPr="00D64264" w:rsidTr="00E3513F">
              <w:tc>
                <w:tcPr>
                  <w:tcW w:w="9576" w:type="dxa"/>
                  <w:gridSpan w:val="4"/>
                </w:tcPr>
                <w:p w:rsidR="00D64264" w:rsidRPr="00D64264" w:rsidRDefault="00D64264" w:rsidP="00D64264">
                  <w:pPr>
                    <w:numPr>
                      <w:ilvl w:val="0"/>
                      <w:numId w:val="19"/>
                    </w:numPr>
                    <w:contextualSpacing/>
                    <w:rPr>
                      <w:rFonts w:ascii="Garamond" w:eastAsiaTheme="minorHAnsi" w:hAnsi="Garamond"/>
                      <w:sz w:val="20"/>
                      <w:szCs w:val="20"/>
                      <w:lang w:val="en-CA"/>
                    </w:rPr>
                  </w:pPr>
                  <w:r w:rsidRPr="00D64264">
                    <w:rPr>
                      <w:rFonts w:ascii="Garamond" w:eastAsiaTheme="minorHAnsi" w:hAnsi="Garamond"/>
                      <w:sz w:val="20"/>
                      <w:szCs w:val="20"/>
                      <w:lang w:val="en-CA"/>
                    </w:rPr>
                    <w:t>[If answer in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_Ref392164615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 0 or don’t know]</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 xml:space="preserve">If the treatment cost 10% of your </w:t>
                  </w:r>
                  <w:r w:rsidRPr="00D64264">
                    <w:rPr>
                      <w:rFonts w:ascii="Garamond" w:eastAsiaTheme="minorHAnsi" w:hAnsi="Garamond"/>
                      <w:b/>
                      <w:i/>
                      <w:sz w:val="20"/>
                      <w:szCs w:val="20"/>
                      <w:lang w:val="en-CA"/>
                    </w:rPr>
                    <w:t>annual household income</w:t>
                  </w:r>
                  <w:r w:rsidRPr="00D64264">
                    <w:rPr>
                      <w:rFonts w:ascii="Garamond" w:eastAsiaTheme="minorHAnsi" w:hAnsi="Garamond"/>
                      <w:sz w:val="20"/>
                      <w:szCs w:val="20"/>
                      <w:lang w:val="en-CA"/>
                    </w:rPr>
                    <w:t xml:space="preserve"> for the next 10 years, would you have been willing to pay for it? </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[If answer in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_Ref392164615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&gt; 0]</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 xml:space="preserve">If the treatment cost 10% of your </w:t>
                  </w:r>
                  <w:r w:rsidRPr="00D64264">
                    <w:rPr>
                      <w:rFonts w:ascii="Garamond" w:eastAsiaTheme="minorHAnsi" w:hAnsi="Garamond"/>
                      <w:b/>
                      <w:i/>
                      <w:sz w:val="20"/>
                      <w:szCs w:val="20"/>
                      <w:lang w:val="en-CA"/>
                    </w:rPr>
                    <w:t>annual household income</w:t>
                  </w:r>
                  <w:r w:rsidRPr="00D64264">
                    <w:rPr>
                      <w:rFonts w:ascii="Garamond" w:eastAsiaTheme="minorHAnsi" w:hAnsi="Garamond"/>
                      <w:sz w:val="20"/>
                      <w:szCs w:val="20"/>
                      <w:lang w:val="en-CA"/>
                    </w:rPr>
                    <w:t xml:space="preserve"> for the next 10 years, would you have been willing to pay for it? Based on your earlier responses, 10% would have been about [10 % of amount from question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_Ref389827053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plus amount from question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_Ref392164615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must have been converted to annual] per year.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Yes</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1</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[Go to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_Ref390163227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sz w:val="20"/>
                      <w:szCs w:val="20"/>
                      <w:lang w:val="en-CA"/>
                    </w:rPr>
                    <w:t>5</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No</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0</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[Go to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_Ref390163232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sz w:val="20"/>
                      <w:szCs w:val="20"/>
                      <w:lang w:val="en-CA"/>
                    </w:rPr>
                    <w:t>4</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tc>
            </w:tr>
          </w:tbl>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811"/>
              <w:gridCol w:w="697"/>
              <w:gridCol w:w="5748"/>
            </w:tblGrid>
            <w:tr w:rsidR="00D64264" w:rsidRPr="00D64264" w:rsidTr="00E3513F">
              <w:tc>
                <w:tcPr>
                  <w:tcW w:w="9576" w:type="dxa"/>
                  <w:gridSpan w:val="4"/>
                </w:tcPr>
                <w:p w:rsidR="00D64264" w:rsidRPr="00D64264" w:rsidRDefault="00D64264" w:rsidP="00D64264">
                  <w:pPr>
                    <w:numPr>
                      <w:ilvl w:val="0"/>
                      <w:numId w:val="19"/>
                    </w:numPr>
                    <w:contextualSpacing/>
                    <w:rPr>
                      <w:rFonts w:ascii="Garamond" w:eastAsiaTheme="minorHAnsi" w:hAnsi="Garamond"/>
                      <w:sz w:val="20"/>
                      <w:szCs w:val="20"/>
                      <w:lang w:val="en-CA"/>
                    </w:rPr>
                  </w:pPr>
                  <w:r w:rsidRPr="00D64264">
                    <w:rPr>
                      <w:rFonts w:ascii="Garamond" w:eastAsiaTheme="minorHAnsi" w:hAnsi="Garamond"/>
                      <w:sz w:val="20"/>
                      <w:szCs w:val="20"/>
                      <w:lang w:val="en-CA"/>
                    </w:rPr>
                    <w:t>[If answer in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_Ref392164615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 0 or don’t know]</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 xml:space="preserve">…how about 5% of your annual household income for the next 10 years? </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[If answer in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_Ref392164615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&gt; 0]</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 xml:space="preserve">…how about 5% of your annual household income for the next 10 years? Based on your earlier responses, 5% would have been about [5% of amount from question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_Ref389827053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plus amount from question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_Ref392164615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must have been converted to annual] per year.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Yes</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1</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[Go to Section Q5]</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No</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0</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 xml:space="preserve">[Go to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_Ref390163246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sz w:val="20"/>
                      <w:szCs w:val="20"/>
                      <w:lang w:val="en-CA"/>
                    </w:rPr>
                    <w:t>6</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tc>
            </w:tr>
          </w:tbl>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811"/>
              <w:gridCol w:w="697"/>
              <w:gridCol w:w="5748"/>
            </w:tblGrid>
            <w:tr w:rsidR="00D64264" w:rsidRPr="00D64264" w:rsidTr="00E3513F">
              <w:tc>
                <w:tcPr>
                  <w:tcW w:w="9576" w:type="dxa"/>
                  <w:gridSpan w:val="4"/>
                </w:tcPr>
                <w:p w:rsidR="00D64264" w:rsidRPr="00D64264" w:rsidRDefault="00D64264" w:rsidP="00D64264">
                  <w:pPr>
                    <w:numPr>
                      <w:ilvl w:val="0"/>
                      <w:numId w:val="19"/>
                    </w:numPr>
                    <w:contextualSpacing/>
                    <w:rPr>
                      <w:rFonts w:ascii="Garamond" w:eastAsiaTheme="minorHAnsi" w:hAnsi="Garamond"/>
                      <w:sz w:val="20"/>
                      <w:szCs w:val="20"/>
                      <w:lang w:val="en-CA"/>
                    </w:rPr>
                  </w:pPr>
                  <w:r w:rsidRPr="00D64264">
                    <w:rPr>
                      <w:rFonts w:ascii="Garamond" w:eastAsiaTheme="minorHAnsi" w:hAnsi="Garamond"/>
                      <w:sz w:val="20"/>
                      <w:szCs w:val="20"/>
                      <w:lang w:val="en-CA"/>
                    </w:rPr>
                    <w:t>[If answer in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_Ref392164615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 0 or don’t know]</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 xml:space="preserve">…how about 15% of your annual income for the next 10 years? </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[If answer in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_Ref392164615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&gt; 0] Based on your earlier responses, 15% would have been about [15% of amount from question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_Ref389827053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plus amount from question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_Ref392164615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must have been converted to annual] per year.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Yes</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1</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[Go to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_Ref390163246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sz w:val="20"/>
                      <w:szCs w:val="20"/>
                      <w:lang w:val="en-CA"/>
                    </w:rPr>
                    <w:t>6</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No</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0</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[Go to Section 5]</w:t>
                  </w:r>
                </w:p>
              </w:tc>
            </w:tr>
          </w:tbl>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865"/>
              <w:gridCol w:w="693"/>
              <w:gridCol w:w="5703"/>
            </w:tblGrid>
            <w:tr w:rsidR="00D64264" w:rsidRPr="00D64264" w:rsidTr="00E3513F">
              <w:tc>
                <w:tcPr>
                  <w:tcW w:w="9576" w:type="dxa"/>
                  <w:gridSpan w:val="4"/>
                </w:tcPr>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[If answer in Q</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_Ref392164615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b/>
                      <w:bCs/>
                      <w:sz w:val="20"/>
                      <w:szCs w:val="20"/>
                    </w:rPr>
                    <w:t>Error! Reference source not found.</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 0 or don’t know, otherwise skip to </w:t>
                  </w:r>
                  <w:r w:rsidRPr="00D64264">
                    <w:rPr>
                      <w:rFonts w:ascii="Garamond" w:eastAsiaTheme="minorHAnsi" w:hAnsi="Garamond"/>
                      <w:sz w:val="20"/>
                      <w:szCs w:val="20"/>
                      <w:lang w:val="en-CA"/>
                    </w:rPr>
                    <w:fldChar w:fldCharType="begin"/>
                  </w:r>
                  <w:r w:rsidRPr="00D64264">
                    <w:rPr>
                      <w:rFonts w:ascii="Garamond" w:eastAsiaTheme="minorHAnsi" w:hAnsi="Garamond"/>
                      <w:sz w:val="20"/>
                      <w:szCs w:val="20"/>
                      <w:lang w:val="en-CA"/>
                    </w:rPr>
                    <w:instrText xml:space="preserve"> REF _Ref393292055 \r \h  \* MERGEFORMAT </w:instrText>
                  </w:r>
                  <w:r w:rsidRPr="00D64264">
                    <w:rPr>
                      <w:rFonts w:ascii="Garamond" w:eastAsiaTheme="minorHAnsi" w:hAnsi="Garamond"/>
                      <w:sz w:val="20"/>
                      <w:szCs w:val="20"/>
                      <w:lang w:val="en-CA"/>
                    </w:rPr>
                  </w:r>
                  <w:r w:rsidRPr="00D64264">
                    <w:rPr>
                      <w:rFonts w:ascii="Garamond" w:eastAsiaTheme="minorHAnsi" w:hAnsi="Garamond"/>
                      <w:sz w:val="20"/>
                      <w:szCs w:val="20"/>
                      <w:lang w:val="en-CA"/>
                    </w:rPr>
                    <w:fldChar w:fldCharType="separate"/>
                  </w:r>
                  <w:r w:rsidR="00AF72C2">
                    <w:rPr>
                      <w:rFonts w:ascii="Garamond" w:eastAsiaTheme="minorHAnsi" w:hAnsi="Garamond"/>
                      <w:sz w:val="20"/>
                      <w:szCs w:val="20"/>
                      <w:lang w:val="en-CA"/>
                    </w:rPr>
                    <w:t>4</w:t>
                  </w:r>
                  <w:r w:rsidRPr="00D64264">
                    <w:rPr>
                      <w:rFonts w:ascii="Garamond" w:eastAsiaTheme="minorHAnsi" w:hAnsi="Garamond"/>
                      <w:sz w:val="20"/>
                      <w:szCs w:val="20"/>
                      <w:lang w:val="en-CA"/>
                    </w:rPr>
                    <w:fldChar w:fldCharType="end"/>
                  </w:r>
                  <w:r w:rsidRPr="00D64264">
                    <w:rPr>
                      <w:rFonts w:ascii="Garamond" w:eastAsiaTheme="minorHAnsi" w:hAnsi="Garamond"/>
                      <w:sz w:val="20"/>
                      <w:szCs w:val="20"/>
                      <w:lang w:val="en-CA"/>
                    </w:rPr>
                    <w:t xml:space="preserve">] </w:t>
                  </w:r>
                </w:p>
                <w:p w:rsidR="00D64264" w:rsidRPr="00D64264" w:rsidRDefault="00D64264" w:rsidP="00D64264">
                  <w:pPr>
                    <w:ind w:left="720"/>
                    <w:contextualSpacing/>
                    <w:rPr>
                      <w:rFonts w:ascii="Garamond" w:eastAsiaTheme="minorHAnsi" w:hAnsi="Garamond"/>
                      <w:sz w:val="20"/>
                      <w:szCs w:val="20"/>
                      <w:lang w:val="en-CA"/>
                    </w:rPr>
                  </w:pPr>
                  <w:r w:rsidRPr="00D64264">
                    <w:rPr>
                      <w:rFonts w:ascii="Garamond" w:eastAsiaTheme="minorHAnsi" w:hAnsi="Garamond"/>
                      <w:sz w:val="20"/>
                      <w:szCs w:val="20"/>
                      <w:lang w:val="en-CA"/>
                    </w:rPr>
                    <w:t xml:space="preserve">What is the highest percentage of your annual household income that you would have been willing to pay?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_____________</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6</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[Go to Section 5]</w:t>
                  </w:r>
                </w:p>
              </w:tc>
            </w:tr>
          </w:tbl>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865"/>
              <w:gridCol w:w="693"/>
              <w:gridCol w:w="5703"/>
            </w:tblGrid>
            <w:tr w:rsidR="00D64264" w:rsidRPr="00D64264" w:rsidTr="00E3513F">
              <w:tc>
                <w:tcPr>
                  <w:tcW w:w="9576" w:type="dxa"/>
                  <w:gridSpan w:val="4"/>
                </w:tcPr>
                <w:p w:rsidR="00D64264" w:rsidRPr="00D64264" w:rsidRDefault="00D64264" w:rsidP="00D64264">
                  <w:pPr>
                    <w:numPr>
                      <w:ilvl w:val="0"/>
                      <w:numId w:val="19"/>
                    </w:numPr>
                    <w:contextualSpacing/>
                    <w:rPr>
                      <w:rFonts w:ascii="Garamond" w:eastAsiaTheme="minorHAnsi" w:hAnsi="Garamond"/>
                      <w:sz w:val="20"/>
                      <w:szCs w:val="20"/>
                      <w:lang w:val="en-CA"/>
                    </w:rPr>
                  </w:pPr>
                  <w:bookmarkStart w:id="21" w:name="_Ref393292055"/>
                  <w:r w:rsidRPr="00D64264">
                    <w:rPr>
                      <w:rFonts w:ascii="Garamond" w:eastAsiaTheme="minorHAnsi" w:hAnsi="Garamond"/>
                      <w:sz w:val="20"/>
                      <w:szCs w:val="20"/>
                      <w:lang w:val="en-CA"/>
                    </w:rPr>
                    <w:t>What is the most that you would have been willing to pay from your household income?</w:t>
                  </w:r>
                  <w:bookmarkEnd w:id="21"/>
                  <w:r w:rsidRPr="00D64264">
                    <w:rPr>
                      <w:rFonts w:ascii="Garamond" w:eastAsiaTheme="minorHAnsi" w:hAnsi="Garamond"/>
                      <w:sz w:val="20"/>
                      <w:szCs w:val="20"/>
                      <w:lang w:val="en-CA"/>
                    </w:rPr>
                    <w:t xml:space="preserve">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_____________</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6</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[Go to Section 5]</w:t>
                  </w:r>
                </w:p>
              </w:tc>
            </w:tr>
          </w:tbl>
          <w:p w:rsidR="00D64264" w:rsidRPr="00D64264" w:rsidRDefault="00D64264" w:rsidP="00D64264">
            <w:pPr>
              <w:rPr>
                <w:rFonts w:ascii="Garamond" w:eastAsiaTheme="minorHAnsi" w:hAnsi="Garamond"/>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1856"/>
              <w:gridCol w:w="701"/>
              <w:gridCol w:w="5701"/>
            </w:tblGrid>
            <w:tr w:rsidR="00D64264" w:rsidRPr="00D64264" w:rsidTr="00E3513F">
              <w:tc>
                <w:tcPr>
                  <w:tcW w:w="9576" w:type="dxa"/>
                  <w:gridSpan w:val="4"/>
                </w:tcPr>
                <w:p w:rsidR="00D64264" w:rsidRPr="00D64264" w:rsidRDefault="00D64264" w:rsidP="00D64264">
                  <w:pPr>
                    <w:numPr>
                      <w:ilvl w:val="0"/>
                      <w:numId w:val="19"/>
                    </w:numPr>
                    <w:contextualSpacing/>
                    <w:rPr>
                      <w:rFonts w:ascii="Garamond" w:eastAsiaTheme="minorHAnsi" w:hAnsi="Garamond"/>
                      <w:sz w:val="20"/>
                      <w:szCs w:val="20"/>
                      <w:lang w:val="en-CA"/>
                    </w:rPr>
                  </w:pPr>
                  <w:r w:rsidRPr="00D64264">
                    <w:rPr>
                      <w:rFonts w:ascii="Garamond" w:eastAsiaTheme="minorHAnsi" w:hAnsi="Garamond"/>
                      <w:sz w:val="20"/>
                      <w:szCs w:val="20"/>
                      <w:lang w:val="en-CA"/>
                    </w:rPr>
                    <w:lastRenderedPageBreak/>
                    <w:t>Do you have any other comments about the injury or changes in your life that you would like to share with us?</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___________</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66</w:t>
                  </w:r>
                </w:p>
              </w:tc>
              <w:tc>
                <w:tcPr>
                  <w:tcW w:w="6048"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 xml:space="preserve"> </w:t>
                  </w:r>
                </w:p>
              </w:tc>
            </w:tr>
            <w:tr w:rsidR="00D64264" w:rsidRPr="00D64264" w:rsidTr="00E3513F">
              <w:tc>
                <w:tcPr>
                  <w:tcW w:w="918" w:type="dxa"/>
                </w:tcPr>
                <w:p w:rsidR="00D64264" w:rsidRPr="00D64264" w:rsidRDefault="00D64264" w:rsidP="00D64264">
                  <w:pPr>
                    <w:rPr>
                      <w:rFonts w:ascii="Garamond" w:eastAsiaTheme="minorHAnsi" w:hAnsi="Garamond"/>
                      <w:sz w:val="20"/>
                      <w:szCs w:val="20"/>
                      <w:lang w:val="en-CA"/>
                    </w:rPr>
                  </w:pPr>
                </w:p>
              </w:tc>
              <w:tc>
                <w:tcPr>
                  <w:tcW w:w="189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No</w:t>
                  </w:r>
                </w:p>
              </w:tc>
              <w:tc>
                <w:tcPr>
                  <w:tcW w:w="720" w:type="dxa"/>
                </w:tcPr>
                <w:p w:rsidR="00D64264" w:rsidRPr="00D64264" w:rsidRDefault="00D64264" w:rsidP="00D64264">
                  <w:pPr>
                    <w:rPr>
                      <w:rFonts w:ascii="Garamond" w:eastAsiaTheme="minorHAnsi" w:hAnsi="Garamond"/>
                      <w:sz w:val="20"/>
                      <w:szCs w:val="20"/>
                      <w:lang w:val="en-CA"/>
                    </w:rPr>
                  </w:pPr>
                  <w:r w:rsidRPr="00D64264">
                    <w:rPr>
                      <w:rFonts w:ascii="Garamond" w:eastAsiaTheme="minorHAnsi" w:hAnsi="Garamond"/>
                      <w:sz w:val="20"/>
                      <w:szCs w:val="20"/>
                      <w:lang w:val="en-CA"/>
                    </w:rPr>
                    <w:t>0</w:t>
                  </w:r>
                </w:p>
              </w:tc>
              <w:tc>
                <w:tcPr>
                  <w:tcW w:w="6048" w:type="dxa"/>
                </w:tcPr>
                <w:p w:rsidR="00D64264" w:rsidRPr="00D64264" w:rsidRDefault="00D64264" w:rsidP="00D64264">
                  <w:pPr>
                    <w:rPr>
                      <w:rFonts w:ascii="Garamond" w:eastAsiaTheme="minorHAnsi" w:hAnsi="Garamond"/>
                      <w:sz w:val="20"/>
                      <w:szCs w:val="20"/>
                      <w:lang w:val="en-CA"/>
                    </w:rPr>
                  </w:pPr>
                </w:p>
              </w:tc>
            </w:tr>
          </w:tbl>
          <w:p w:rsidR="00D64264" w:rsidRDefault="00D64264">
            <w:pPr>
              <w:spacing w:after="200" w:line="276" w:lineRule="auto"/>
              <w:rPr>
                <w:rFonts w:ascii="Garamond" w:hAnsi="Garamond"/>
                <w:b/>
                <w:sz w:val="28"/>
                <w:szCs w:val="28"/>
                <w:lang w:val="en-CA"/>
              </w:rPr>
            </w:pPr>
          </w:p>
        </w:tc>
      </w:tr>
    </w:tbl>
    <w:p w:rsidR="0003755B" w:rsidRPr="0003755B" w:rsidRDefault="0003755B" w:rsidP="00AF72C2">
      <w:pPr>
        <w:spacing w:after="200" w:line="276" w:lineRule="auto"/>
        <w:rPr>
          <w:rFonts w:ascii="Garamond" w:hAnsi="Garamond"/>
          <w:b/>
          <w:sz w:val="28"/>
          <w:szCs w:val="28"/>
          <w:lang w:val="en-CA"/>
        </w:rPr>
      </w:pPr>
      <w:r w:rsidRPr="0003755B">
        <w:rPr>
          <w:rFonts w:ascii="Garamond" w:hAnsi="Garamond"/>
          <w:b/>
          <w:sz w:val="28"/>
          <w:szCs w:val="28"/>
          <w:lang w:val="en-CA"/>
        </w:rPr>
        <w:lastRenderedPageBreak/>
        <w:t>References</w:t>
      </w:r>
    </w:p>
    <w:p w:rsidR="0003755B" w:rsidRDefault="0003755B" w:rsidP="0003755B">
      <w:pPr>
        <w:pStyle w:val="Bibliography"/>
        <w:spacing w:line="240" w:lineRule="auto"/>
        <w:rPr>
          <w:rFonts w:ascii="Garamond" w:hAnsi="Garamond"/>
          <w:sz w:val="28"/>
          <w:szCs w:val="28"/>
          <w:lang w:val="en-CA"/>
        </w:rPr>
      </w:pPr>
    </w:p>
    <w:p w:rsidR="0003755B" w:rsidRPr="00B11612" w:rsidRDefault="0003755B" w:rsidP="0003755B">
      <w:pPr>
        <w:pStyle w:val="Bibliography"/>
        <w:spacing w:line="240" w:lineRule="auto"/>
        <w:rPr>
          <w:rFonts w:ascii="Garamond" w:hAnsi="Garamond"/>
        </w:rPr>
      </w:pPr>
      <w:r w:rsidRPr="00B11612">
        <w:rPr>
          <w:rFonts w:ascii="Garamond" w:hAnsi="Garamond"/>
          <w:szCs w:val="28"/>
          <w:lang w:val="en-CA"/>
        </w:rPr>
        <w:fldChar w:fldCharType="begin"/>
      </w:r>
      <w:r w:rsidRPr="00B11612">
        <w:rPr>
          <w:rFonts w:ascii="Garamond" w:hAnsi="Garamond"/>
          <w:szCs w:val="28"/>
          <w:lang w:val="en-CA"/>
        </w:rPr>
        <w:instrText xml:space="preserve"> ADDIN ZOTERO_BIBL {"custom":[]} CSL_BIBLIOGRAPHY </w:instrText>
      </w:r>
      <w:r w:rsidRPr="00B11612">
        <w:rPr>
          <w:rFonts w:ascii="Garamond" w:hAnsi="Garamond"/>
          <w:szCs w:val="28"/>
          <w:lang w:val="en-CA"/>
        </w:rPr>
        <w:fldChar w:fldCharType="separate"/>
      </w:r>
      <w:r w:rsidRPr="00B11612">
        <w:rPr>
          <w:rFonts w:ascii="Garamond" w:hAnsi="Garamond"/>
        </w:rPr>
        <w:t>American Society of Safety Engineers. (n.d.). Impact of Accident Costs on Businesses | American Society of Safety Engineers. Retrieved May 3, 2015, from http://www.asse.org/professionalaffairs/career-res/impact-of-accident-costs-on-businesses/</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Anderson, V. P., Schulte, P. A., Sestito, J., Linn, H., &amp; Nguyen, L. S. (2010). Occupational Fatalities, Injuries, Illnesses, and Related Economic Loss in the Wholesale and Retail Trade Sector. </w:t>
      </w:r>
      <w:r w:rsidRPr="00B11612">
        <w:rPr>
          <w:rFonts w:ascii="Garamond" w:hAnsi="Garamond"/>
          <w:i/>
          <w:iCs/>
        </w:rPr>
        <w:t>American Journal of Industrial Medicine</w:t>
      </w:r>
      <w:r w:rsidRPr="00B11612">
        <w:rPr>
          <w:rFonts w:ascii="Garamond" w:hAnsi="Garamond"/>
        </w:rPr>
        <w:t>, n/a–n/a. http://doi.org/10.1002/ajim.20813</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Boden, Leslie, &amp; Galizzi, Monica. (1999). Economic Consequences of Workplace Injuries and Illnesses: Lost Earnings and Benefit Adequacy. </w:t>
      </w:r>
      <w:r w:rsidRPr="00B11612">
        <w:rPr>
          <w:rFonts w:ascii="Garamond" w:hAnsi="Garamond"/>
          <w:i/>
          <w:iCs/>
        </w:rPr>
        <w:t>Journal of Industrial Medicine</w:t>
      </w:r>
      <w:r w:rsidRPr="00B11612">
        <w:rPr>
          <w:rFonts w:ascii="Garamond" w:hAnsi="Garamond"/>
        </w:rPr>
        <w:t xml:space="preserve">, </w:t>
      </w:r>
      <w:r w:rsidRPr="00B11612">
        <w:rPr>
          <w:rFonts w:ascii="Garamond" w:hAnsi="Garamond"/>
          <w:i/>
          <w:iCs/>
        </w:rPr>
        <w:t>36</w:t>
      </w:r>
      <w:r w:rsidRPr="00B11612">
        <w:rPr>
          <w:rFonts w:ascii="Garamond" w:hAnsi="Garamond"/>
        </w:rPr>
        <w:t>, 487–503.</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Boden, L. I., Biddle, E. A., &amp; Spieler, E. A. (2001). Social and Economic Impacts of Workplace Illness and Injury: Current and Future Directions for Research. </w:t>
      </w:r>
      <w:r w:rsidRPr="00B11612">
        <w:rPr>
          <w:rFonts w:ascii="Garamond" w:hAnsi="Garamond"/>
          <w:i/>
          <w:iCs/>
        </w:rPr>
        <w:t>American Journal of Industrial Medicine</w:t>
      </w:r>
      <w:r w:rsidRPr="00B11612">
        <w:rPr>
          <w:rFonts w:ascii="Garamond" w:hAnsi="Garamond"/>
        </w:rPr>
        <w:t xml:space="preserve">, </w:t>
      </w:r>
      <w:r w:rsidRPr="00B11612">
        <w:rPr>
          <w:rFonts w:ascii="Garamond" w:hAnsi="Garamond"/>
          <w:i/>
          <w:iCs/>
        </w:rPr>
        <w:t>40</w:t>
      </w:r>
      <w:r w:rsidRPr="00B11612">
        <w:rPr>
          <w:rFonts w:ascii="Garamond" w:hAnsi="Garamond"/>
        </w:rPr>
        <w:t>(4), 398–402.</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Boyle, K. J., Bishop, R. C., &amp; Welsh, M. P. (1985). Starting Point Bias in Contingent Valuation Bidding Games. </w:t>
      </w:r>
      <w:r w:rsidRPr="00B11612">
        <w:rPr>
          <w:rFonts w:ascii="Garamond" w:hAnsi="Garamond"/>
          <w:i/>
          <w:iCs/>
        </w:rPr>
        <w:t>Land Economics</w:t>
      </w:r>
      <w:r w:rsidRPr="00B11612">
        <w:rPr>
          <w:rFonts w:ascii="Garamond" w:hAnsi="Garamond"/>
        </w:rPr>
        <w:t xml:space="preserve">, </w:t>
      </w:r>
      <w:r w:rsidRPr="00B11612">
        <w:rPr>
          <w:rFonts w:ascii="Garamond" w:hAnsi="Garamond"/>
          <w:i/>
          <w:iCs/>
        </w:rPr>
        <w:t>61</w:t>
      </w:r>
      <w:r w:rsidRPr="00B11612">
        <w:rPr>
          <w:rFonts w:ascii="Garamond" w:hAnsi="Garamond"/>
        </w:rPr>
        <w:t>(2), 188. http://doi.org/10.2307/3145811</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Camm,T., T., &amp; Girard-Dwyer, J,  undefined. (2005). Economic Consequences of Mining Injuries. </w:t>
      </w:r>
      <w:r w:rsidRPr="00B11612">
        <w:rPr>
          <w:rFonts w:ascii="Garamond" w:hAnsi="Garamond"/>
          <w:i/>
          <w:iCs/>
        </w:rPr>
        <w:t>Mining Engineering</w:t>
      </w:r>
      <w:r w:rsidRPr="00B11612">
        <w:rPr>
          <w:rFonts w:ascii="Garamond" w:hAnsi="Garamond"/>
        </w:rPr>
        <w:t xml:space="preserve">, </w:t>
      </w:r>
      <w:r w:rsidRPr="00B11612">
        <w:rPr>
          <w:rFonts w:ascii="Garamond" w:hAnsi="Garamond"/>
          <w:i/>
          <w:iCs/>
        </w:rPr>
        <w:t>57</w:t>
      </w:r>
      <w:r w:rsidRPr="00B11612">
        <w:rPr>
          <w:rFonts w:ascii="Garamond" w:hAnsi="Garamond"/>
        </w:rPr>
        <w:t>(9), 89–92.</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Chestnut, L. G., Keller, L. R., Lambert, W. E., &amp; Rowe, R. D. (1996). Measuring Heart Patients’ Willingness to Pay for Changes in Angina Symptoms. </w:t>
      </w:r>
      <w:r w:rsidRPr="00B11612">
        <w:rPr>
          <w:rFonts w:ascii="Garamond" w:hAnsi="Garamond"/>
          <w:i/>
          <w:iCs/>
        </w:rPr>
        <w:t>Medical Decision Making</w:t>
      </w:r>
      <w:r w:rsidRPr="00B11612">
        <w:rPr>
          <w:rFonts w:ascii="Garamond" w:hAnsi="Garamond"/>
        </w:rPr>
        <w:t xml:space="preserve">, </w:t>
      </w:r>
      <w:r w:rsidRPr="00B11612">
        <w:rPr>
          <w:rFonts w:ascii="Garamond" w:hAnsi="Garamond"/>
          <w:i/>
          <w:iCs/>
        </w:rPr>
        <w:t>16</w:t>
      </w:r>
      <w:r w:rsidRPr="00B11612">
        <w:rPr>
          <w:rFonts w:ascii="Garamond" w:hAnsi="Garamond"/>
        </w:rPr>
        <w:t>(1), 65–76. http://doi.org/10.1177/0272989X9601600115</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Corso, P. (2006). Incidence and Lifetime Costs of Injuries in the United States. </w:t>
      </w:r>
      <w:r w:rsidRPr="00B11612">
        <w:rPr>
          <w:rFonts w:ascii="Garamond" w:hAnsi="Garamond"/>
          <w:i/>
          <w:iCs/>
        </w:rPr>
        <w:t>Injury Prevention</w:t>
      </w:r>
      <w:r w:rsidRPr="00B11612">
        <w:rPr>
          <w:rFonts w:ascii="Garamond" w:hAnsi="Garamond"/>
        </w:rPr>
        <w:t xml:space="preserve">, </w:t>
      </w:r>
      <w:r w:rsidRPr="00B11612">
        <w:rPr>
          <w:rFonts w:ascii="Garamond" w:hAnsi="Garamond"/>
          <w:i/>
          <w:iCs/>
        </w:rPr>
        <w:t>12</w:t>
      </w:r>
      <w:r w:rsidRPr="00B11612">
        <w:rPr>
          <w:rFonts w:ascii="Garamond" w:hAnsi="Garamond"/>
        </w:rPr>
        <w:t>(4), 212–218. http://doi.org/10.1136/ip.2005.010983</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Dembe, A. E. (2001). The Social Consequences of Occupational Injuries and Illnesses. </w:t>
      </w:r>
      <w:r w:rsidRPr="00B11612">
        <w:rPr>
          <w:rFonts w:ascii="Garamond" w:hAnsi="Garamond"/>
          <w:i/>
          <w:iCs/>
        </w:rPr>
        <w:t>American Journal of Industrial Medicine</w:t>
      </w:r>
      <w:r w:rsidRPr="00B11612">
        <w:rPr>
          <w:rFonts w:ascii="Garamond" w:hAnsi="Garamond"/>
        </w:rPr>
        <w:t xml:space="preserve">, </w:t>
      </w:r>
      <w:r w:rsidRPr="00B11612">
        <w:rPr>
          <w:rFonts w:ascii="Garamond" w:hAnsi="Garamond"/>
          <w:i/>
          <w:iCs/>
        </w:rPr>
        <w:t>40</w:t>
      </w:r>
      <w:r w:rsidRPr="00B11612">
        <w:rPr>
          <w:rFonts w:ascii="Garamond" w:hAnsi="Garamond"/>
        </w:rPr>
        <w:t>(4), 403–417.</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Flachaire, E., &amp; Hollard, G. (2006). Controlling Starting-Point Bias in Double-Bounded Contingent Valuation Surveys. </w:t>
      </w:r>
      <w:r w:rsidRPr="00B11612">
        <w:rPr>
          <w:rFonts w:ascii="Garamond" w:hAnsi="Garamond"/>
          <w:i/>
          <w:iCs/>
        </w:rPr>
        <w:t>Land Economics</w:t>
      </w:r>
      <w:r w:rsidRPr="00B11612">
        <w:rPr>
          <w:rFonts w:ascii="Garamond" w:hAnsi="Garamond"/>
        </w:rPr>
        <w:t xml:space="preserve">, </w:t>
      </w:r>
      <w:r w:rsidRPr="00B11612">
        <w:rPr>
          <w:rFonts w:ascii="Garamond" w:hAnsi="Garamond"/>
          <w:i/>
          <w:iCs/>
        </w:rPr>
        <w:t>82</w:t>
      </w:r>
      <w:r w:rsidRPr="00B11612">
        <w:rPr>
          <w:rFonts w:ascii="Garamond" w:hAnsi="Garamond"/>
        </w:rPr>
        <w:t>(1), 103–111.</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Grutters, J. P. C., Anteunis, L. J. C., Chenault, M. N., &amp; Joore, M. A. (2009). Willingness to Pay for a Hearing Aid: Comparing the Payment Scale and Open-Ended Question. </w:t>
      </w:r>
      <w:r w:rsidRPr="00B11612">
        <w:rPr>
          <w:rFonts w:ascii="Garamond" w:hAnsi="Garamond"/>
          <w:i/>
          <w:iCs/>
        </w:rPr>
        <w:t>Journal of Evaluation in Clinical Practice</w:t>
      </w:r>
      <w:r w:rsidRPr="00B11612">
        <w:rPr>
          <w:rFonts w:ascii="Garamond" w:hAnsi="Garamond"/>
        </w:rPr>
        <w:t xml:space="preserve">, </w:t>
      </w:r>
      <w:r w:rsidRPr="00B11612">
        <w:rPr>
          <w:rFonts w:ascii="Garamond" w:hAnsi="Garamond"/>
          <w:i/>
          <w:iCs/>
        </w:rPr>
        <w:t>15</w:t>
      </w:r>
      <w:r w:rsidRPr="00B11612">
        <w:rPr>
          <w:rFonts w:ascii="Garamond" w:hAnsi="Garamond"/>
        </w:rPr>
        <w:t>(1), 91–96. http://doi.org/10.1111/j.1365-2753.2008.00959.x</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Gyldmark, M., &amp; Morrison, G. C. (2001). Demand for Health Care in Denmark: Results of a National Sample Survey Using Contingent Valuation. </w:t>
      </w:r>
      <w:r w:rsidRPr="00B11612">
        <w:rPr>
          <w:rFonts w:ascii="Garamond" w:hAnsi="Garamond"/>
          <w:i/>
          <w:iCs/>
        </w:rPr>
        <w:t>Social Science &amp; Medicine</w:t>
      </w:r>
      <w:r w:rsidRPr="00B11612">
        <w:rPr>
          <w:rFonts w:ascii="Garamond" w:hAnsi="Garamond"/>
        </w:rPr>
        <w:t xml:space="preserve">, </w:t>
      </w:r>
      <w:r w:rsidRPr="00B11612">
        <w:rPr>
          <w:rFonts w:ascii="Garamond" w:hAnsi="Garamond"/>
          <w:i/>
          <w:iCs/>
        </w:rPr>
        <w:t>53</w:t>
      </w:r>
      <w:r w:rsidRPr="00B11612">
        <w:rPr>
          <w:rFonts w:ascii="Garamond" w:hAnsi="Garamond"/>
        </w:rPr>
        <w:t>(8), 1023–1036.</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Hausman, J. (2012). Contingent Valuation: From Dubious to Hopeless. </w:t>
      </w:r>
      <w:r w:rsidRPr="00B11612">
        <w:rPr>
          <w:rFonts w:ascii="Garamond" w:hAnsi="Garamond"/>
          <w:i/>
          <w:iCs/>
        </w:rPr>
        <w:t>Journal of Economic Perspectives</w:t>
      </w:r>
      <w:r w:rsidRPr="00B11612">
        <w:rPr>
          <w:rFonts w:ascii="Garamond" w:hAnsi="Garamond"/>
        </w:rPr>
        <w:t xml:space="preserve">, </w:t>
      </w:r>
      <w:r w:rsidRPr="00B11612">
        <w:rPr>
          <w:rFonts w:ascii="Garamond" w:hAnsi="Garamond"/>
          <w:i/>
          <w:iCs/>
        </w:rPr>
        <w:t>26</w:t>
      </w:r>
      <w:r w:rsidRPr="00B11612">
        <w:rPr>
          <w:rFonts w:ascii="Garamond" w:hAnsi="Garamond"/>
        </w:rPr>
        <w:t>(4), 43–56. http://doi.org/10.1257/jep.26.4.43</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Hausman, J.A. (Ed.). (2012). </w:t>
      </w:r>
      <w:r w:rsidRPr="00B11612">
        <w:rPr>
          <w:rFonts w:ascii="Garamond" w:hAnsi="Garamond"/>
          <w:i/>
          <w:iCs/>
        </w:rPr>
        <w:t>Contingent Valuation: A Critical Assessment</w:t>
      </w:r>
      <w:r w:rsidRPr="00B11612">
        <w:rPr>
          <w:rFonts w:ascii="Garamond" w:hAnsi="Garamond"/>
        </w:rPr>
        <w:t>. North Holland.</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Holmes, Thomas, &amp; Kramer, Randall. (1995). An Independent Sample Test for Yea-Saying and Starting Point Bias in Dichotomous Contingent Valuation. </w:t>
      </w:r>
      <w:r w:rsidRPr="00B11612">
        <w:rPr>
          <w:rFonts w:ascii="Garamond" w:hAnsi="Garamond"/>
          <w:i/>
          <w:iCs/>
        </w:rPr>
        <w:t>Journal of Environmental Economics and Management</w:t>
      </w:r>
      <w:r w:rsidRPr="00B11612">
        <w:rPr>
          <w:rFonts w:ascii="Garamond" w:hAnsi="Garamond"/>
        </w:rPr>
        <w:t xml:space="preserve">, </w:t>
      </w:r>
      <w:r w:rsidRPr="00B11612">
        <w:rPr>
          <w:rFonts w:ascii="Garamond" w:hAnsi="Garamond"/>
          <w:i/>
          <w:iCs/>
        </w:rPr>
        <w:t>29</w:t>
      </w:r>
      <w:r w:rsidRPr="00B11612">
        <w:rPr>
          <w:rFonts w:ascii="Garamond" w:hAnsi="Garamond"/>
        </w:rPr>
        <w:t>, 121–32.</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Leigh, J-P. (2011). Economic Burden of Occupational Injury and Illness in the United States. </w:t>
      </w:r>
      <w:r w:rsidRPr="00B11612">
        <w:rPr>
          <w:rFonts w:ascii="Garamond" w:hAnsi="Garamond"/>
          <w:i/>
          <w:iCs/>
        </w:rPr>
        <w:t>Milbank Quarterly</w:t>
      </w:r>
      <w:r w:rsidRPr="00B11612">
        <w:rPr>
          <w:rFonts w:ascii="Garamond" w:hAnsi="Garamond"/>
        </w:rPr>
        <w:t xml:space="preserve">, </w:t>
      </w:r>
      <w:r w:rsidRPr="00B11612">
        <w:rPr>
          <w:rFonts w:ascii="Garamond" w:hAnsi="Garamond"/>
          <w:i/>
          <w:iCs/>
        </w:rPr>
        <w:t>89</w:t>
      </w:r>
      <w:r w:rsidRPr="00B11612">
        <w:rPr>
          <w:rFonts w:ascii="Garamond" w:hAnsi="Garamond"/>
        </w:rPr>
        <w:t>(4), 728–772.</w:t>
      </w:r>
    </w:p>
    <w:p w:rsidR="0003755B" w:rsidRDefault="0003755B" w:rsidP="0003755B">
      <w:pPr>
        <w:pStyle w:val="Bibliography"/>
        <w:spacing w:line="240" w:lineRule="auto"/>
        <w:rPr>
          <w:rFonts w:ascii="Garamond" w:hAnsi="Garamond"/>
        </w:rPr>
      </w:pPr>
      <w:r w:rsidRPr="00B11612">
        <w:rPr>
          <w:rFonts w:ascii="Garamond" w:hAnsi="Garamond"/>
        </w:rPr>
        <w:lastRenderedPageBreak/>
        <w:t xml:space="preserve">Liu, J.-T., Hammitt, J. K., Wang, J.-D., Liu, J.-L., &amp; others. (2000). Mother’s Willingness to Pay for Her Own and Her Child’s Health: A Contingent Valuation Study in Taiwan. </w:t>
      </w:r>
      <w:r w:rsidRPr="00B11612">
        <w:rPr>
          <w:rFonts w:ascii="Garamond" w:hAnsi="Garamond"/>
          <w:i/>
          <w:iCs/>
        </w:rPr>
        <w:t>Health Economics</w:t>
      </w:r>
      <w:r w:rsidRPr="00B11612">
        <w:rPr>
          <w:rFonts w:ascii="Garamond" w:hAnsi="Garamond"/>
        </w:rPr>
        <w:t xml:space="preserve">, </w:t>
      </w:r>
      <w:r w:rsidRPr="00B11612">
        <w:rPr>
          <w:rFonts w:ascii="Garamond" w:hAnsi="Garamond"/>
          <w:i/>
          <w:iCs/>
        </w:rPr>
        <w:t>9</w:t>
      </w:r>
      <w:r w:rsidRPr="00B11612">
        <w:rPr>
          <w:rFonts w:ascii="Garamond" w:hAnsi="Garamond"/>
        </w:rPr>
        <w:t>(4), 319–326.</w:t>
      </w:r>
    </w:p>
    <w:p w:rsidR="00140531" w:rsidRPr="00140531" w:rsidRDefault="00140531" w:rsidP="00140531">
      <w:pPr>
        <w:pStyle w:val="Bibliography"/>
        <w:spacing w:line="240" w:lineRule="auto"/>
        <w:rPr>
          <w:rFonts w:ascii="Garamond" w:hAnsi="Garamond"/>
        </w:rPr>
      </w:pPr>
      <w:r w:rsidRPr="00140531">
        <w:rPr>
          <w:rFonts w:ascii="Garamond" w:hAnsi="Garamond"/>
        </w:rPr>
        <w:t>Mason, G.C. (2016) The origins and consequences of workplace accidents: results of a dyadic study, Working paper</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Milon, J.W., (1989). Contingent Valuation Experiments for Strategic Behavior. </w:t>
      </w:r>
      <w:r w:rsidRPr="00B11612">
        <w:rPr>
          <w:rFonts w:ascii="Garamond" w:hAnsi="Garamond"/>
          <w:i/>
          <w:iCs/>
        </w:rPr>
        <w:t>Journal of Environmental Economics and Management</w:t>
      </w:r>
      <w:r w:rsidRPr="00B11612">
        <w:rPr>
          <w:rFonts w:ascii="Garamond" w:hAnsi="Garamond"/>
        </w:rPr>
        <w:t xml:space="preserve">, </w:t>
      </w:r>
      <w:r w:rsidRPr="00B11612">
        <w:rPr>
          <w:rFonts w:ascii="Garamond" w:hAnsi="Garamond"/>
          <w:i/>
          <w:iCs/>
        </w:rPr>
        <w:t>17</w:t>
      </w:r>
      <w:r w:rsidRPr="00B11612">
        <w:rPr>
          <w:rFonts w:ascii="Garamond" w:hAnsi="Garamond"/>
        </w:rPr>
        <w:t>, 293–308.</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Olsen, J. A., Røgeberg, O. J., &amp; Stavem, K. (2012). What Explains Willingness to Pay for Smoking-Cessation Treatments—Addiction Level, Quit-Rate Effectiveness or the Opening Bid? </w:t>
      </w:r>
      <w:r w:rsidRPr="00B11612">
        <w:rPr>
          <w:rFonts w:ascii="Garamond" w:hAnsi="Garamond"/>
          <w:i/>
          <w:iCs/>
        </w:rPr>
        <w:t>Applied Health Economics and Health Policy</w:t>
      </w:r>
      <w:r w:rsidRPr="00B11612">
        <w:rPr>
          <w:rFonts w:ascii="Garamond" w:hAnsi="Garamond"/>
        </w:rPr>
        <w:t xml:space="preserve">, </w:t>
      </w:r>
      <w:r w:rsidRPr="00B11612">
        <w:rPr>
          <w:rFonts w:ascii="Garamond" w:hAnsi="Garamond"/>
          <w:i/>
          <w:iCs/>
        </w:rPr>
        <w:t>10</w:t>
      </w:r>
      <w:r w:rsidRPr="00B11612">
        <w:rPr>
          <w:rFonts w:ascii="Garamond" w:hAnsi="Garamond"/>
        </w:rPr>
        <w:t>(6), 407–415.</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Oremus, M., &amp; Tarride, J.-E. (2008). A Systematic Review of the Use of Contingent Valuation in Alzheimer’s Disease Research. </w:t>
      </w:r>
      <w:r w:rsidRPr="00B11612">
        <w:rPr>
          <w:rFonts w:ascii="Garamond" w:hAnsi="Garamond"/>
          <w:i/>
          <w:iCs/>
        </w:rPr>
        <w:t>Dementia</w:t>
      </w:r>
      <w:r w:rsidRPr="00B11612">
        <w:rPr>
          <w:rFonts w:ascii="Garamond" w:hAnsi="Garamond"/>
        </w:rPr>
        <w:t xml:space="preserve">, </w:t>
      </w:r>
      <w:r w:rsidRPr="00B11612">
        <w:rPr>
          <w:rFonts w:ascii="Garamond" w:hAnsi="Garamond"/>
          <w:i/>
          <w:iCs/>
        </w:rPr>
        <w:t>7</w:t>
      </w:r>
      <w:r w:rsidRPr="00B11612">
        <w:rPr>
          <w:rFonts w:ascii="Garamond" w:hAnsi="Garamond"/>
        </w:rPr>
        <w:t>(4), 461–480. http://doi.org/10.1177/1471301208096630</w:t>
      </w:r>
    </w:p>
    <w:p w:rsidR="0003755B" w:rsidRPr="00B11612" w:rsidRDefault="0003755B" w:rsidP="0003755B">
      <w:pPr>
        <w:pStyle w:val="Bibliography"/>
        <w:spacing w:line="240" w:lineRule="auto"/>
        <w:rPr>
          <w:rFonts w:ascii="Garamond" w:hAnsi="Garamond"/>
        </w:rPr>
      </w:pPr>
      <w:r w:rsidRPr="00B11612">
        <w:rPr>
          <w:rFonts w:ascii="Garamond" w:hAnsi="Garamond"/>
        </w:rPr>
        <w:t>OSHA. (n.d.). Safety and Health Management Systems Etool | Module 1 - Safety and Health Payoffs - Costs of Accidents. Retrieved May 3, 2015, from https://www.osha.gov/SLTC/etools/safetyhealth/mod1_costs.html</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Pouliakas, K., &amp; Theodossiou, I. (2013). The Economics of Health and Safety at Work: An Interdiciplinary Review of the Theory and Policy. </w:t>
      </w:r>
      <w:r w:rsidRPr="00B11612">
        <w:rPr>
          <w:rFonts w:ascii="Garamond" w:hAnsi="Garamond"/>
          <w:i/>
          <w:iCs/>
        </w:rPr>
        <w:t>Journal of Economic Surveys</w:t>
      </w:r>
      <w:r w:rsidRPr="00B11612">
        <w:rPr>
          <w:rFonts w:ascii="Garamond" w:hAnsi="Garamond"/>
        </w:rPr>
        <w:t xml:space="preserve">, </w:t>
      </w:r>
      <w:r w:rsidRPr="00B11612">
        <w:rPr>
          <w:rFonts w:ascii="Garamond" w:hAnsi="Garamond"/>
          <w:i/>
          <w:iCs/>
        </w:rPr>
        <w:t>27</w:t>
      </w:r>
      <w:r w:rsidRPr="00B11612">
        <w:rPr>
          <w:rFonts w:ascii="Garamond" w:hAnsi="Garamond"/>
        </w:rPr>
        <w:t>(1), 167–208.</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Reville, R. T., Bhattacharya, J., &amp; Sager Weinstein, L. R. (2001). New Methods and Data Sources for Measuring Economic Consequences of Workplace Injuries. </w:t>
      </w:r>
      <w:r w:rsidRPr="00B11612">
        <w:rPr>
          <w:rFonts w:ascii="Garamond" w:hAnsi="Garamond"/>
          <w:i/>
          <w:iCs/>
        </w:rPr>
        <w:t>American Journal of Industrial Medicine</w:t>
      </w:r>
      <w:r w:rsidRPr="00B11612">
        <w:rPr>
          <w:rFonts w:ascii="Garamond" w:hAnsi="Garamond"/>
        </w:rPr>
        <w:t xml:space="preserve">, </w:t>
      </w:r>
      <w:r w:rsidRPr="00B11612">
        <w:rPr>
          <w:rFonts w:ascii="Garamond" w:hAnsi="Garamond"/>
          <w:i/>
          <w:iCs/>
        </w:rPr>
        <w:t>40</w:t>
      </w:r>
      <w:r w:rsidRPr="00B11612">
        <w:rPr>
          <w:rFonts w:ascii="Garamond" w:hAnsi="Garamond"/>
        </w:rPr>
        <w:t>(4), 452–463.</w:t>
      </w:r>
    </w:p>
    <w:p w:rsidR="0003755B" w:rsidRPr="00B11612" w:rsidRDefault="0003755B" w:rsidP="0003755B">
      <w:pPr>
        <w:pStyle w:val="Bibliography"/>
        <w:spacing w:line="240" w:lineRule="auto"/>
        <w:rPr>
          <w:rFonts w:ascii="Garamond" w:hAnsi="Garamond"/>
        </w:rPr>
      </w:pPr>
      <w:r w:rsidRPr="00B11612">
        <w:rPr>
          <w:rFonts w:ascii="Garamond" w:hAnsi="Garamond"/>
        </w:rPr>
        <w:t>Seabury, Seth, Reville, Robert, Rhodes, Hilary, &amp; Boden, Leslie. (2005). How can behaviourfal economcis inform research on workplace injuries?</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Sharpe, A., &amp; Hardt, J. (2006). </w:t>
      </w:r>
      <w:r w:rsidRPr="00B11612">
        <w:rPr>
          <w:rFonts w:ascii="Garamond" w:hAnsi="Garamond"/>
          <w:i/>
          <w:iCs/>
        </w:rPr>
        <w:t>Five Deaths a Day: Workplace Fatalities in Canada</w:t>
      </w:r>
      <w:r w:rsidRPr="00B11612">
        <w:rPr>
          <w:rFonts w:ascii="Garamond" w:hAnsi="Garamond"/>
        </w:rPr>
        <w:t xml:space="preserve"> (p. 155). Centre for the Study of Living Standards. Retrieved from http://www.csls.ca/reports/csls2006-04.pdf?avfm=174</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Werner, P., Schnaider-Beeri, M., Aharon, J., &amp; Davidson, M. (2002). Family Caregivers’ Willingness to Pay for Drugs Indicated for the Treatment of Altzheimer’s Tisease: An Economic or Psychological Model? </w:t>
      </w:r>
      <w:r w:rsidRPr="00B11612">
        <w:rPr>
          <w:rFonts w:ascii="Garamond" w:hAnsi="Garamond"/>
          <w:i/>
          <w:iCs/>
        </w:rPr>
        <w:t>Dementia</w:t>
      </w:r>
      <w:r w:rsidRPr="00B11612">
        <w:rPr>
          <w:rFonts w:ascii="Garamond" w:hAnsi="Garamond"/>
        </w:rPr>
        <w:t xml:space="preserve">, </w:t>
      </w:r>
      <w:r w:rsidRPr="00B11612">
        <w:rPr>
          <w:rFonts w:ascii="Garamond" w:hAnsi="Garamond"/>
          <w:i/>
          <w:iCs/>
        </w:rPr>
        <w:t>1</w:t>
      </w:r>
      <w:r w:rsidRPr="00B11612">
        <w:rPr>
          <w:rFonts w:ascii="Garamond" w:hAnsi="Garamond"/>
        </w:rPr>
        <w:t>(1), 59–74. http://doi.org/10.1177/147130120200100109</w:t>
      </w:r>
    </w:p>
    <w:p w:rsidR="0003755B" w:rsidRPr="00B11612" w:rsidRDefault="0003755B" w:rsidP="0003755B">
      <w:pPr>
        <w:pStyle w:val="Bibliography"/>
        <w:spacing w:line="240" w:lineRule="auto"/>
        <w:rPr>
          <w:rFonts w:ascii="Garamond" w:hAnsi="Garamond"/>
        </w:rPr>
      </w:pPr>
      <w:r w:rsidRPr="00B11612">
        <w:rPr>
          <w:rFonts w:ascii="Garamond" w:hAnsi="Garamond"/>
        </w:rPr>
        <w:t xml:space="preserve">Whitehead, John. (2002). Incentive Incompatibility and Starting-Point Bias in Iterative Valuation Questions. </w:t>
      </w:r>
      <w:r w:rsidRPr="00B11612">
        <w:rPr>
          <w:rFonts w:ascii="Garamond" w:hAnsi="Garamond"/>
          <w:i/>
          <w:iCs/>
        </w:rPr>
        <w:t>Land Economics</w:t>
      </w:r>
      <w:r w:rsidRPr="00B11612">
        <w:rPr>
          <w:rFonts w:ascii="Garamond" w:hAnsi="Garamond"/>
        </w:rPr>
        <w:t xml:space="preserve">, </w:t>
      </w:r>
      <w:r w:rsidRPr="00B11612">
        <w:rPr>
          <w:rFonts w:ascii="Garamond" w:hAnsi="Garamond"/>
          <w:i/>
          <w:iCs/>
        </w:rPr>
        <w:t>78</w:t>
      </w:r>
      <w:r w:rsidRPr="00B11612">
        <w:rPr>
          <w:rFonts w:ascii="Garamond" w:hAnsi="Garamond"/>
        </w:rPr>
        <w:t>(2), 285–297.</w:t>
      </w:r>
    </w:p>
    <w:p w:rsidR="00320BBF" w:rsidRPr="00B11612" w:rsidRDefault="0003755B" w:rsidP="0003755B">
      <w:pPr>
        <w:ind w:left="720" w:hanging="720"/>
        <w:rPr>
          <w:rFonts w:ascii="Garamond" w:hAnsi="Garamond"/>
          <w:szCs w:val="28"/>
          <w:lang w:val="en-CA"/>
        </w:rPr>
      </w:pPr>
      <w:r w:rsidRPr="00B11612">
        <w:rPr>
          <w:rFonts w:ascii="Garamond" w:hAnsi="Garamond"/>
          <w:szCs w:val="28"/>
          <w:lang w:val="en-CA"/>
        </w:rPr>
        <w:fldChar w:fldCharType="end"/>
      </w:r>
    </w:p>
    <w:p w:rsidR="00635509" w:rsidRDefault="00635509" w:rsidP="0082629B">
      <w:pPr>
        <w:spacing w:after="200" w:line="276" w:lineRule="auto"/>
        <w:rPr>
          <w:rFonts w:ascii="Garamond" w:hAnsi="Garamond"/>
          <w:sz w:val="28"/>
          <w:szCs w:val="28"/>
          <w:lang w:val="en-CA"/>
        </w:rPr>
      </w:pPr>
    </w:p>
    <w:p w:rsidR="00B714E1" w:rsidRPr="00B11612" w:rsidRDefault="00B714E1" w:rsidP="00B11612">
      <w:pPr>
        <w:spacing w:after="200" w:line="276" w:lineRule="auto"/>
        <w:rPr>
          <w:rFonts w:ascii="Garamond" w:eastAsiaTheme="majorEastAsia" w:hAnsi="Garamond" w:cstheme="majorBidi"/>
          <w:b/>
          <w:bCs/>
          <w:sz w:val="28"/>
          <w:szCs w:val="28"/>
          <w:lang w:val="en-CA"/>
        </w:rPr>
      </w:pPr>
    </w:p>
    <w:sectPr w:rsidR="00B714E1" w:rsidRPr="00B11612" w:rsidSect="002615C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51" w:rsidRDefault="00AA5151" w:rsidP="00867C19">
      <w:r>
        <w:separator/>
      </w:r>
    </w:p>
  </w:endnote>
  <w:endnote w:type="continuationSeparator" w:id="0">
    <w:p w:rsidR="00AA5151" w:rsidRDefault="00AA5151" w:rsidP="0086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31" w:rsidRDefault="001405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F" w:rsidRDefault="00E3513F">
    <w:pPr>
      <w:pStyle w:val="Footer"/>
      <w:rPr>
        <w:rFonts w:ascii="Garamond" w:hAnsi="Garamond"/>
        <w:b/>
      </w:rPr>
    </w:pPr>
    <w:r>
      <w:rPr>
        <w:rFonts w:ascii="Garamond" w:hAnsi="Garamond"/>
        <w:b/>
        <w:noProof/>
        <w:lang w:val="en-CA"/>
      </w:rPr>
      <mc:AlternateContent>
        <mc:Choice Requires="wps">
          <w:drawing>
            <wp:anchor distT="0" distB="0" distL="114300" distR="114300" simplePos="0" relativeHeight="251657216" behindDoc="0" locked="0" layoutInCell="1" allowOverlap="1" wp14:anchorId="11CBE290" wp14:editId="55BF6708">
              <wp:simplePos x="0" y="0"/>
              <wp:positionH relativeFrom="column">
                <wp:posOffset>-11336</wp:posOffset>
              </wp:positionH>
              <wp:positionV relativeFrom="paragraph">
                <wp:posOffset>69934</wp:posOffset>
              </wp:positionV>
              <wp:extent cx="596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DE76DD"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5.5pt" to="46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" strokecolor="#4579b8 [3044]"/>
          </w:pict>
        </mc:Fallback>
      </mc:AlternateContent>
    </w:r>
  </w:p>
  <w:p w:rsidR="00E3513F" w:rsidRPr="00B714E1" w:rsidRDefault="00E3513F">
    <w:pPr>
      <w:pStyle w:val="Footer"/>
      <w:rPr>
        <w:rFonts w:ascii="Garamond" w:hAnsi="Garamond"/>
        <w:b/>
      </w:rPr>
    </w:pPr>
    <w:r w:rsidRPr="00B714E1">
      <w:rPr>
        <w:rFonts w:ascii="Garamond" w:hAnsi="Garamond"/>
        <w:b/>
      </w:rPr>
      <w:t>Preliminary draft: for comment and review only (do not quote)</w:t>
    </w:r>
  </w:p>
  <w:p w:rsidR="00E3513F" w:rsidRPr="00B714E1" w:rsidRDefault="00E3513F">
    <w:pPr>
      <w:pStyle w:val="Footer"/>
      <w:rPr>
        <w:rFonts w:ascii="Garamond" w:hAnsi="Garamond"/>
        <w:b/>
      </w:rPr>
    </w:pPr>
  </w:p>
  <w:p w:rsidR="00E3513F" w:rsidRDefault="00E3513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31" w:rsidRDefault="001405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51" w:rsidRDefault="00AA5151" w:rsidP="00867C19">
      <w:r>
        <w:separator/>
      </w:r>
    </w:p>
  </w:footnote>
  <w:footnote w:type="continuationSeparator" w:id="0">
    <w:p w:rsidR="00AA5151" w:rsidRDefault="00AA5151" w:rsidP="00867C19">
      <w:r>
        <w:continuationSeparator/>
      </w:r>
    </w:p>
  </w:footnote>
  <w:footnote w:id="1">
    <w:p w:rsidR="00140531" w:rsidRDefault="00140531">
      <w:pPr>
        <w:pStyle w:val="FootnoteText"/>
      </w:pPr>
      <w:r>
        <w:rPr>
          <w:rStyle w:val="FootnoteReference"/>
        </w:rPr>
        <w:footnoteRef/>
      </w:r>
      <w:r>
        <w:t xml:space="preserve"> Preliminary draft.  Note for quotation.  Comments welcome.</w:t>
      </w:r>
    </w:p>
  </w:footnote>
  <w:footnote w:id="2">
    <w:p w:rsidR="00E3513F" w:rsidRPr="00B714E1" w:rsidRDefault="00E3513F">
      <w:pPr>
        <w:pStyle w:val="FootnoteText"/>
        <w:rPr>
          <w:rFonts w:ascii="Garamond" w:hAnsi="Garamond"/>
          <w:sz w:val="22"/>
          <w:lang w:val="en-CA"/>
        </w:rPr>
      </w:pPr>
      <w:r w:rsidRPr="00B714E1">
        <w:rPr>
          <w:rStyle w:val="FootnoteReference"/>
          <w:rFonts w:ascii="Garamond" w:hAnsi="Garamond"/>
          <w:sz w:val="22"/>
        </w:rPr>
        <w:footnoteRef/>
      </w:r>
      <w:r w:rsidRPr="00B714E1">
        <w:rPr>
          <w:rFonts w:ascii="Garamond" w:hAnsi="Garamond"/>
          <w:sz w:val="22"/>
        </w:rPr>
        <w:t xml:space="preserve"> </w:t>
      </w:r>
      <w:r w:rsidRPr="00B714E1">
        <w:rPr>
          <w:rFonts w:ascii="Garamond" w:hAnsi="Garamond"/>
          <w:sz w:val="22"/>
          <w:lang w:val="en-CA"/>
        </w:rPr>
        <w:t>University of Manitoba (Economics)</w:t>
      </w:r>
      <w:r w:rsidR="00140531">
        <w:rPr>
          <w:rFonts w:ascii="Garamond" w:hAnsi="Garamond"/>
          <w:sz w:val="22"/>
          <w:lang w:val="en-CA"/>
        </w:rPr>
        <w:t>(</w:t>
      </w:r>
      <w:hyperlink r:id="rId1" w:history="1">
        <w:r w:rsidR="00140531" w:rsidRPr="00B714E1">
          <w:rPr>
            <w:rStyle w:val="Hyperlink"/>
            <w:rFonts w:ascii="Garamond" w:hAnsi="Garamond"/>
            <w:sz w:val="22"/>
            <w:lang w:val="en-CA"/>
          </w:rPr>
          <w:t>gregory.mason@umanitoba.ca</w:t>
        </w:r>
      </w:hyperlink>
      <w:r w:rsidR="00140531">
        <w:rPr>
          <w:rFonts w:ascii="Garamond" w:hAnsi="Garamond"/>
          <w:sz w:val="22"/>
          <w:lang w:val="en-CA"/>
        </w:rPr>
        <w:t>)</w:t>
      </w:r>
      <w:r w:rsidRPr="00B714E1">
        <w:rPr>
          <w:rFonts w:ascii="Garamond" w:hAnsi="Garamond"/>
          <w:sz w:val="22"/>
          <w:lang w:val="en-CA"/>
        </w:rPr>
        <w:t xml:space="preserve"> and PRA Inc. (</w:t>
      </w:r>
      <w:hyperlink r:id="rId2" w:history="1">
        <w:r w:rsidRPr="00B714E1">
          <w:rPr>
            <w:rStyle w:val="Hyperlink"/>
            <w:rFonts w:ascii="Garamond" w:hAnsi="Garamond"/>
            <w:sz w:val="22"/>
            <w:lang w:val="en-CA"/>
          </w:rPr>
          <w:t>www.pra.ca</w:t>
        </w:r>
      </w:hyperlink>
      <w:r w:rsidRPr="00B714E1">
        <w:rPr>
          <w:rFonts w:ascii="Garamond" w:hAnsi="Garamond"/>
          <w:sz w:val="22"/>
          <w:lang w:val="en-CA"/>
        </w:rPr>
        <w:t>)</w:t>
      </w:r>
      <w:r>
        <w:rPr>
          <w:rFonts w:ascii="Garamond" w:hAnsi="Garamond"/>
          <w:sz w:val="22"/>
          <w:lang w:val="en-CA"/>
        </w:rPr>
        <w:t xml:space="preserve">. </w:t>
      </w:r>
    </w:p>
  </w:footnote>
  <w:footnote w:id="3">
    <w:p w:rsidR="00E3513F" w:rsidRPr="006A412B" w:rsidRDefault="00E3513F" w:rsidP="006A412B">
      <w:pPr>
        <w:pStyle w:val="FootnoteText"/>
        <w:ind w:hanging="11"/>
        <w:rPr>
          <w:lang w:val="en-CA"/>
        </w:rPr>
      </w:pPr>
      <w:r>
        <w:rPr>
          <w:rStyle w:val="FootnoteReference"/>
        </w:rPr>
        <w:footnoteRef/>
      </w:r>
      <w:r>
        <w:t xml:space="preserve"> </w:t>
      </w:r>
      <w:r>
        <w:rPr>
          <w:lang w:val="en-CA"/>
        </w:rPr>
        <w:t>The research was supported by the Research Workplace Innovation Program of the Workers Compensation Board of Manitoba</w:t>
      </w:r>
    </w:p>
  </w:footnote>
  <w:footnote w:id="4">
    <w:p w:rsidR="00E3513F" w:rsidRPr="00E5737C" w:rsidRDefault="00E3513F">
      <w:pPr>
        <w:pStyle w:val="FootnoteText"/>
        <w:rPr>
          <w:lang w:val="en-CA"/>
        </w:rPr>
      </w:pPr>
      <w:r>
        <w:rPr>
          <w:rStyle w:val="FootnoteReference"/>
        </w:rPr>
        <w:footnoteRef/>
      </w:r>
      <w:r>
        <w:t xml:space="preserve"> </w:t>
      </w:r>
      <w:r w:rsidRPr="00416B71">
        <w:rPr>
          <w:rFonts w:ascii="Garamond" w:eastAsiaTheme="minorHAnsi" w:hAnsi="Garamond"/>
          <w:lang w:val="en-CA"/>
        </w:rPr>
        <w:t>As an aside, the interplay between the costs of compensating injured workers and the cost of modifying workplaces to be safer is an important issue. In theory, investing in workplace safety to eliminate accidents could effectively eliminate the need to compensate workers.</w:t>
      </w:r>
    </w:p>
  </w:footnote>
  <w:footnote w:id="5">
    <w:p w:rsidR="00140531" w:rsidRDefault="00140531">
      <w:pPr>
        <w:pStyle w:val="FootnoteText"/>
      </w:pPr>
      <w:r>
        <w:rPr>
          <w:rStyle w:val="FootnoteReference"/>
        </w:rPr>
        <w:footnoteRef/>
      </w:r>
      <w:r>
        <w:t xml:space="preserve"> See Mason (2016) for a more complete discussion of the origins and consequences of workplace accidents.</w:t>
      </w:r>
    </w:p>
  </w:footnote>
  <w:footnote w:id="6">
    <w:p w:rsidR="00E3513F" w:rsidRPr="00967C20" w:rsidRDefault="00E3513F">
      <w:pPr>
        <w:pStyle w:val="FootnoteText"/>
        <w:rPr>
          <w:lang w:val="en-CA"/>
        </w:rPr>
      </w:pPr>
      <w:r>
        <w:rPr>
          <w:rStyle w:val="FootnoteReference"/>
        </w:rPr>
        <w:footnoteRef/>
      </w:r>
      <w:r>
        <w:t xml:space="preserve"> </w:t>
      </w:r>
      <w:r>
        <w:rPr>
          <w:lang w:val="en-CA"/>
        </w:rPr>
        <w:t>Annex A presents the complete WTP question for primary and secondary respondents.</w:t>
      </w:r>
    </w:p>
  </w:footnote>
  <w:footnote w:id="7">
    <w:p w:rsidR="00E3513F" w:rsidRPr="00B11612" w:rsidRDefault="00E3513F">
      <w:pPr>
        <w:pStyle w:val="FootnoteText"/>
        <w:rPr>
          <w:rFonts w:ascii="Garamond" w:hAnsi="Garamond"/>
          <w:lang w:val="en-CA"/>
        </w:rPr>
      </w:pPr>
      <w:r w:rsidRPr="00B11612">
        <w:rPr>
          <w:rStyle w:val="FootnoteReference"/>
          <w:rFonts w:ascii="Garamond" w:hAnsi="Garamond"/>
          <w:sz w:val="22"/>
        </w:rPr>
        <w:footnoteRef/>
      </w:r>
      <w:r w:rsidRPr="00B11612">
        <w:rPr>
          <w:rFonts w:ascii="Garamond" w:hAnsi="Garamond"/>
          <w:sz w:val="22"/>
        </w:rPr>
        <w:t xml:space="preserve"> </w:t>
      </w:r>
      <w:r w:rsidRPr="00B11612">
        <w:rPr>
          <w:rFonts w:ascii="Garamond" w:hAnsi="Garamond"/>
          <w:sz w:val="22"/>
          <w:lang w:val="en-CA"/>
        </w:rPr>
        <w:t>Please contact the corresponding author for questionnaires.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31" w:rsidRDefault="001405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F" w:rsidRDefault="00AA5151">
    <w:pPr>
      <w:pStyle w:val="Header"/>
      <w:jc w:val="right"/>
    </w:pPr>
    <w:sdt>
      <w:sdtPr>
        <w:id w:val="126286953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190448441"/>
        <w:docPartObj>
          <w:docPartGallery w:val="Page Numbers (Top of Page)"/>
          <w:docPartUnique/>
        </w:docPartObj>
      </w:sdtPr>
      <w:sdtEndPr>
        <w:rPr>
          <w:noProof/>
        </w:rPr>
      </w:sdtEndPr>
      <w:sdtContent>
        <w:r w:rsidR="00E3513F">
          <w:fldChar w:fldCharType="begin"/>
        </w:r>
        <w:r w:rsidR="00E3513F">
          <w:instrText xml:space="preserve"> PAGE   \* MERGEFORMAT </w:instrText>
        </w:r>
        <w:r w:rsidR="00E3513F">
          <w:fldChar w:fldCharType="separate"/>
        </w:r>
        <w:r w:rsidR="00586754">
          <w:rPr>
            <w:noProof/>
          </w:rPr>
          <w:t>21</w:t>
        </w:r>
        <w:r w:rsidR="00E3513F">
          <w:rPr>
            <w:noProof/>
          </w:rPr>
          <w:fldChar w:fldCharType="end"/>
        </w:r>
      </w:sdtContent>
    </w:sdt>
  </w:p>
  <w:p w:rsidR="00E3513F" w:rsidRDefault="00E351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31" w:rsidRDefault="001405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466"/>
    <w:multiLevelType w:val="hybridMultilevel"/>
    <w:tmpl w:val="6700E346"/>
    <w:lvl w:ilvl="0" w:tplc="3438935A">
      <w:start w:val="1"/>
      <w:numFmt w:val="bullet"/>
      <w:pStyle w:val="Bullet"/>
      <w:lvlText w:val="►"/>
      <w:lvlJc w:val="left"/>
      <w:pPr>
        <w:ind w:left="720" w:hanging="360"/>
      </w:pPr>
      <w:rPr>
        <w:rFonts w:ascii="Times New Roman" w:hAnsi="Times New Roman"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5A41E8"/>
    <w:multiLevelType w:val="hybridMultilevel"/>
    <w:tmpl w:val="5440AB42"/>
    <w:lvl w:ilvl="0" w:tplc="A3F6A6DA">
      <w:start w:val="1"/>
      <w:numFmt w:val="bullet"/>
      <w:pStyle w:val="Bullet2"/>
      <w:lvlText w:val="-"/>
      <w:lvlJc w:val="left"/>
      <w:pPr>
        <w:ind w:left="720" w:hanging="360"/>
      </w:pPr>
      <w:rPr>
        <w:rFonts w:ascii="Times New Roman" w:hAnsi="Times New Roman" w:cs="Times New Roman" w:hint="default"/>
        <w:b/>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8A5146"/>
    <w:multiLevelType w:val="hybridMultilevel"/>
    <w:tmpl w:val="8C40EBB8"/>
    <w:lvl w:ilvl="0" w:tplc="7B981C5A">
      <w:start w:val="1"/>
      <w:numFmt w:val="bullet"/>
      <w:lvlText w:val="−"/>
      <w:lvlJc w:val="left"/>
      <w:pPr>
        <w:ind w:left="720" w:hanging="360"/>
      </w:pPr>
      <w:rPr>
        <w:rFonts w:ascii="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E51447"/>
    <w:multiLevelType w:val="hybridMultilevel"/>
    <w:tmpl w:val="7C068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D473E"/>
    <w:multiLevelType w:val="hybridMultilevel"/>
    <w:tmpl w:val="A38CB6F6"/>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 w15:restartNumberingAfterBreak="0">
    <w:nsid w:val="3A8548BC"/>
    <w:multiLevelType w:val="hybridMultilevel"/>
    <w:tmpl w:val="16308E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65095B"/>
    <w:multiLevelType w:val="hybridMultilevel"/>
    <w:tmpl w:val="1E282682"/>
    <w:lvl w:ilvl="0" w:tplc="10090001">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9944CB"/>
    <w:multiLevelType w:val="hybridMultilevel"/>
    <w:tmpl w:val="BA4EB694"/>
    <w:lvl w:ilvl="0" w:tplc="E500BDA6">
      <w:start w:val="1"/>
      <w:numFmt w:val="bullet"/>
      <w:lvlText w:val="."/>
      <w:lvlJc w:val="left"/>
      <w:pPr>
        <w:ind w:left="720" w:hanging="360"/>
      </w:pPr>
      <w:rPr>
        <w:rFonts w:ascii="Courier New" w:hAnsi="Courier New"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840381"/>
    <w:multiLevelType w:val="hybridMultilevel"/>
    <w:tmpl w:val="3684B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C36C97"/>
    <w:multiLevelType w:val="hybridMultilevel"/>
    <w:tmpl w:val="50925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9259E8"/>
    <w:multiLevelType w:val="hybridMultilevel"/>
    <w:tmpl w:val="7C068A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D6E5B96"/>
    <w:multiLevelType w:val="multilevel"/>
    <w:tmpl w:val="86EA68F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tabs>
          <w:tab w:val="num" w:pos="1440"/>
        </w:tabs>
        <w:ind w:left="2520" w:hanging="1080"/>
      </w:pPr>
      <w:rPr>
        <w:rFonts w:hint="default"/>
      </w:rPr>
    </w:lvl>
    <w:lvl w:ilvl="3">
      <w:start w:val="1"/>
      <w:numFmt w:val="none"/>
      <w:pStyle w:val="Heading4"/>
      <w:lvlText w:val="%4"/>
      <w:lvlJc w:val="left"/>
      <w:pPr>
        <w:tabs>
          <w:tab w:val="num" w:pos="2520"/>
        </w:tabs>
        <w:ind w:left="2520" w:firstLine="0"/>
      </w:pPr>
      <w:rPr>
        <w:rFonts w:hint="default"/>
      </w:rPr>
    </w:lvl>
    <w:lvl w:ilvl="4">
      <w:start w:val="1"/>
      <w:numFmt w:val="none"/>
      <w:pStyle w:val="Heading5"/>
      <w:lvlText w:val="%5"/>
      <w:lvlJc w:val="left"/>
      <w:pPr>
        <w:tabs>
          <w:tab w:val="num" w:pos="2520"/>
        </w:tabs>
        <w:ind w:left="2520" w:firstLine="0"/>
      </w:pPr>
      <w:rPr>
        <w:rFonts w:hint="default"/>
      </w:rPr>
    </w:lvl>
    <w:lvl w:ilvl="5">
      <w:start w:val="1"/>
      <w:numFmt w:val="none"/>
      <w:pStyle w:val="Heading6"/>
      <w:lvlText w:val="%6"/>
      <w:lvlJc w:val="left"/>
      <w:pPr>
        <w:tabs>
          <w:tab w:val="num" w:pos="2520"/>
        </w:tabs>
        <w:ind w:left="2520" w:firstLine="0"/>
      </w:pPr>
      <w:rPr>
        <w:rFonts w:hint="default"/>
      </w:rPr>
    </w:lvl>
    <w:lvl w:ilvl="6">
      <w:start w:val="1"/>
      <w:numFmt w:val="none"/>
      <w:pStyle w:val="Heading7"/>
      <w:lvlText w:val="%7"/>
      <w:lvlJc w:val="left"/>
      <w:pPr>
        <w:ind w:left="2520" w:firstLine="0"/>
      </w:pPr>
      <w:rPr>
        <w:rFonts w:hint="default"/>
      </w:rPr>
    </w:lvl>
    <w:lvl w:ilvl="7">
      <w:start w:val="1"/>
      <w:numFmt w:val="none"/>
      <w:pStyle w:val="Heading8"/>
      <w:lvlText w:val="%8"/>
      <w:lvlJc w:val="left"/>
      <w:pPr>
        <w:ind w:left="2520" w:firstLine="0"/>
      </w:pPr>
      <w:rPr>
        <w:rFonts w:hint="default"/>
      </w:rPr>
    </w:lvl>
    <w:lvl w:ilvl="8">
      <w:start w:val="1"/>
      <w:numFmt w:val="none"/>
      <w:lvlText w:val="%9"/>
      <w:lvlJc w:val="left"/>
      <w:pPr>
        <w:ind w:left="0" w:firstLine="0"/>
      </w:pPr>
      <w:rPr>
        <w:rFonts w:hint="default"/>
      </w:rPr>
    </w:lvl>
  </w:abstractNum>
  <w:num w:numId="1">
    <w:abstractNumId w:val="11"/>
  </w:num>
  <w:num w:numId="2">
    <w:abstractNumId w:val="0"/>
  </w:num>
  <w:num w:numId="3">
    <w:abstractNumId w:val="11"/>
  </w:num>
  <w:num w:numId="4">
    <w:abstractNumId w:val="11"/>
  </w:num>
  <w:num w:numId="5">
    <w:abstractNumId w:val="0"/>
  </w:num>
  <w:num w:numId="6">
    <w:abstractNumId w:val="1"/>
  </w:num>
  <w:num w:numId="7">
    <w:abstractNumId w:val="1"/>
  </w:num>
  <w:num w:numId="8">
    <w:abstractNumId w:val="1"/>
  </w:num>
  <w:num w:numId="9">
    <w:abstractNumId w:val="1"/>
  </w:num>
  <w:num w:numId="10">
    <w:abstractNumId w:val="2"/>
  </w:num>
  <w:num w:numId="11">
    <w:abstractNumId w:val="7"/>
  </w:num>
  <w:num w:numId="12">
    <w:abstractNumId w:val="6"/>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E2"/>
    <w:rsid w:val="000040C3"/>
    <w:rsid w:val="00011453"/>
    <w:rsid w:val="000115BF"/>
    <w:rsid w:val="000174D3"/>
    <w:rsid w:val="0001768C"/>
    <w:rsid w:val="000245AB"/>
    <w:rsid w:val="00026D9B"/>
    <w:rsid w:val="00036A0A"/>
    <w:rsid w:val="0003755B"/>
    <w:rsid w:val="000429D7"/>
    <w:rsid w:val="00047B57"/>
    <w:rsid w:val="00057DCD"/>
    <w:rsid w:val="0006551F"/>
    <w:rsid w:val="0007137F"/>
    <w:rsid w:val="0007525C"/>
    <w:rsid w:val="00075984"/>
    <w:rsid w:val="00082D9E"/>
    <w:rsid w:val="00087F38"/>
    <w:rsid w:val="00097B3C"/>
    <w:rsid w:val="000A0D43"/>
    <w:rsid w:val="000A1F4C"/>
    <w:rsid w:val="000A2AC8"/>
    <w:rsid w:val="000A3569"/>
    <w:rsid w:val="000B1E9B"/>
    <w:rsid w:val="000B275E"/>
    <w:rsid w:val="000B50B2"/>
    <w:rsid w:val="000B52A2"/>
    <w:rsid w:val="000B79A9"/>
    <w:rsid w:val="000C24B5"/>
    <w:rsid w:val="000C3324"/>
    <w:rsid w:val="000D6704"/>
    <w:rsid w:val="000E4629"/>
    <w:rsid w:val="000E50A4"/>
    <w:rsid w:val="000E716D"/>
    <w:rsid w:val="00103019"/>
    <w:rsid w:val="00110512"/>
    <w:rsid w:val="001125D7"/>
    <w:rsid w:val="00113614"/>
    <w:rsid w:val="00115A92"/>
    <w:rsid w:val="001166CF"/>
    <w:rsid w:val="00116EF1"/>
    <w:rsid w:val="00127547"/>
    <w:rsid w:val="001277B0"/>
    <w:rsid w:val="00133A6C"/>
    <w:rsid w:val="00134751"/>
    <w:rsid w:val="00135E8C"/>
    <w:rsid w:val="001400E5"/>
    <w:rsid w:val="001404CA"/>
    <w:rsid w:val="00140531"/>
    <w:rsid w:val="00145D33"/>
    <w:rsid w:val="0014619D"/>
    <w:rsid w:val="001471AF"/>
    <w:rsid w:val="001613D0"/>
    <w:rsid w:val="00165CA1"/>
    <w:rsid w:val="001663F3"/>
    <w:rsid w:val="001849AA"/>
    <w:rsid w:val="0018717B"/>
    <w:rsid w:val="00191970"/>
    <w:rsid w:val="00194AD7"/>
    <w:rsid w:val="00197E60"/>
    <w:rsid w:val="001A01EE"/>
    <w:rsid w:val="001A0A8D"/>
    <w:rsid w:val="001A126C"/>
    <w:rsid w:val="001B57AF"/>
    <w:rsid w:val="001B7A12"/>
    <w:rsid w:val="001C2455"/>
    <w:rsid w:val="001C2AFB"/>
    <w:rsid w:val="001C32DB"/>
    <w:rsid w:val="001C39F7"/>
    <w:rsid w:val="001C4294"/>
    <w:rsid w:val="001C6540"/>
    <w:rsid w:val="001C6CFD"/>
    <w:rsid w:val="001D2BB0"/>
    <w:rsid w:val="001D7F19"/>
    <w:rsid w:val="001E43A3"/>
    <w:rsid w:val="001E5CE0"/>
    <w:rsid w:val="001E657F"/>
    <w:rsid w:val="00202071"/>
    <w:rsid w:val="00203546"/>
    <w:rsid w:val="00206267"/>
    <w:rsid w:val="00207834"/>
    <w:rsid w:val="00212113"/>
    <w:rsid w:val="00220852"/>
    <w:rsid w:val="00220B43"/>
    <w:rsid w:val="00222B83"/>
    <w:rsid w:val="002246E0"/>
    <w:rsid w:val="00233F9E"/>
    <w:rsid w:val="002374CA"/>
    <w:rsid w:val="002440A9"/>
    <w:rsid w:val="00244283"/>
    <w:rsid w:val="00244E8B"/>
    <w:rsid w:val="002534C1"/>
    <w:rsid w:val="002536DF"/>
    <w:rsid w:val="002568C9"/>
    <w:rsid w:val="002615CA"/>
    <w:rsid w:val="002646E7"/>
    <w:rsid w:val="00265894"/>
    <w:rsid w:val="002762CA"/>
    <w:rsid w:val="0028156A"/>
    <w:rsid w:val="00287517"/>
    <w:rsid w:val="00294F07"/>
    <w:rsid w:val="002A0642"/>
    <w:rsid w:val="002A214C"/>
    <w:rsid w:val="002A2DF6"/>
    <w:rsid w:val="002A351A"/>
    <w:rsid w:val="002B7A52"/>
    <w:rsid w:val="002B7A6D"/>
    <w:rsid w:val="002B7FE8"/>
    <w:rsid w:val="002C014A"/>
    <w:rsid w:val="002C20C5"/>
    <w:rsid w:val="002F1014"/>
    <w:rsid w:val="002F1641"/>
    <w:rsid w:val="002F27AE"/>
    <w:rsid w:val="002F2AFF"/>
    <w:rsid w:val="002F4D5E"/>
    <w:rsid w:val="0030227F"/>
    <w:rsid w:val="0030556D"/>
    <w:rsid w:val="00310B29"/>
    <w:rsid w:val="003143A1"/>
    <w:rsid w:val="00316513"/>
    <w:rsid w:val="00316C1E"/>
    <w:rsid w:val="00320BBF"/>
    <w:rsid w:val="00324C9E"/>
    <w:rsid w:val="00327308"/>
    <w:rsid w:val="003276B4"/>
    <w:rsid w:val="0033326B"/>
    <w:rsid w:val="00340DD9"/>
    <w:rsid w:val="00343749"/>
    <w:rsid w:val="00352F1C"/>
    <w:rsid w:val="00354476"/>
    <w:rsid w:val="003571BC"/>
    <w:rsid w:val="00357EBA"/>
    <w:rsid w:val="00360B23"/>
    <w:rsid w:val="00360D88"/>
    <w:rsid w:val="00362E63"/>
    <w:rsid w:val="00365B32"/>
    <w:rsid w:val="00375949"/>
    <w:rsid w:val="00375A0D"/>
    <w:rsid w:val="00377716"/>
    <w:rsid w:val="00380E90"/>
    <w:rsid w:val="0038151D"/>
    <w:rsid w:val="00392857"/>
    <w:rsid w:val="003A33BB"/>
    <w:rsid w:val="003A3D3A"/>
    <w:rsid w:val="003A5E07"/>
    <w:rsid w:val="003B0177"/>
    <w:rsid w:val="003B4396"/>
    <w:rsid w:val="003B5D1E"/>
    <w:rsid w:val="003B7B3B"/>
    <w:rsid w:val="003C30AC"/>
    <w:rsid w:val="003C3724"/>
    <w:rsid w:val="003C3A3C"/>
    <w:rsid w:val="003C6979"/>
    <w:rsid w:val="003D4598"/>
    <w:rsid w:val="003E2F7C"/>
    <w:rsid w:val="00401876"/>
    <w:rsid w:val="00403873"/>
    <w:rsid w:val="00406037"/>
    <w:rsid w:val="00410AF3"/>
    <w:rsid w:val="00413832"/>
    <w:rsid w:val="00414907"/>
    <w:rsid w:val="00415AC4"/>
    <w:rsid w:val="00415F2D"/>
    <w:rsid w:val="00416B71"/>
    <w:rsid w:val="00424AB3"/>
    <w:rsid w:val="00427FF1"/>
    <w:rsid w:val="00430ABD"/>
    <w:rsid w:val="00437884"/>
    <w:rsid w:val="00442A07"/>
    <w:rsid w:val="00442CBF"/>
    <w:rsid w:val="0044407F"/>
    <w:rsid w:val="00446B96"/>
    <w:rsid w:val="0045535C"/>
    <w:rsid w:val="00457EB8"/>
    <w:rsid w:val="00460519"/>
    <w:rsid w:val="00461999"/>
    <w:rsid w:val="004631CA"/>
    <w:rsid w:val="0046470A"/>
    <w:rsid w:val="004658B1"/>
    <w:rsid w:val="00471BD4"/>
    <w:rsid w:val="0047428A"/>
    <w:rsid w:val="004746D5"/>
    <w:rsid w:val="00475A27"/>
    <w:rsid w:val="00491C93"/>
    <w:rsid w:val="00494FC4"/>
    <w:rsid w:val="00495143"/>
    <w:rsid w:val="004A0186"/>
    <w:rsid w:val="004A2D20"/>
    <w:rsid w:val="004A5E75"/>
    <w:rsid w:val="004B0F6D"/>
    <w:rsid w:val="004B23EA"/>
    <w:rsid w:val="004B25C5"/>
    <w:rsid w:val="004B4B41"/>
    <w:rsid w:val="004C2B9B"/>
    <w:rsid w:val="004C3536"/>
    <w:rsid w:val="004D12F7"/>
    <w:rsid w:val="004D47AC"/>
    <w:rsid w:val="004E1B32"/>
    <w:rsid w:val="004E3CE1"/>
    <w:rsid w:val="004E7137"/>
    <w:rsid w:val="004E7E74"/>
    <w:rsid w:val="004F5CA5"/>
    <w:rsid w:val="004F76CE"/>
    <w:rsid w:val="00502E3D"/>
    <w:rsid w:val="00506046"/>
    <w:rsid w:val="00506C63"/>
    <w:rsid w:val="00511DC8"/>
    <w:rsid w:val="00513BDC"/>
    <w:rsid w:val="005158C4"/>
    <w:rsid w:val="00516736"/>
    <w:rsid w:val="005221A4"/>
    <w:rsid w:val="00522635"/>
    <w:rsid w:val="005303C9"/>
    <w:rsid w:val="0053078B"/>
    <w:rsid w:val="00530A4C"/>
    <w:rsid w:val="0053329D"/>
    <w:rsid w:val="0053541C"/>
    <w:rsid w:val="00546BCD"/>
    <w:rsid w:val="00550697"/>
    <w:rsid w:val="00551307"/>
    <w:rsid w:val="00554F8D"/>
    <w:rsid w:val="005554F2"/>
    <w:rsid w:val="00555855"/>
    <w:rsid w:val="0056066D"/>
    <w:rsid w:val="0056495C"/>
    <w:rsid w:val="0057136C"/>
    <w:rsid w:val="005717C0"/>
    <w:rsid w:val="00574FFE"/>
    <w:rsid w:val="00586754"/>
    <w:rsid w:val="005901CD"/>
    <w:rsid w:val="00590D2E"/>
    <w:rsid w:val="00596C92"/>
    <w:rsid w:val="00597E9B"/>
    <w:rsid w:val="005A0C1E"/>
    <w:rsid w:val="005A1DA2"/>
    <w:rsid w:val="005A1F05"/>
    <w:rsid w:val="005B6E1B"/>
    <w:rsid w:val="005C063B"/>
    <w:rsid w:val="005C2A7E"/>
    <w:rsid w:val="005C3C63"/>
    <w:rsid w:val="005C565D"/>
    <w:rsid w:val="005D1500"/>
    <w:rsid w:val="005D2B73"/>
    <w:rsid w:val="005D5C30"/>
    <w:rsid w:val="005D7050"/>
    <w:rsid w:val="005D7B83"/>
    <w:rsid w:val="005E0242"/>
    <w:rsid w:val="005E44D2"/>
    <w:rsid w:val="005E4C10"/>
    <w:rsid w:val="005E6B8C"/>
    <w:rsid w:val="005F1EE6"/>
    <w:rsid w:val="005F2EB5"/>
    <w:rsid w:val="0060276E"/>
    <w:rsid w:val="006028DB"/>
    <w:rsid w:val="00610893"/>
    <w:rsid w:val="006114BC"/>
    <w:rsid w:val="00615716"/>
    <w:rsid w:val="00620EB5"/>
    <w:rsid w:val="0062133C"/>
    <w:rsid w:val="006260D3"/>
    <w:rsid w:val="00627342"/>
    <w:rsid w:val="0062754A"/>
    <w:rsid w:val="00630FE5"/>
    <w:rsid w:val="00635509"/>
    <w:rsid w:val="00635AEB"/>
    <w:rsid w:val="006430A9"/>
    <w:rsid w:val="006431F0"/>
    <w:rsid w:val="006473FD"/>
    <w:rsid w:val="0065194A"/>
    <w:rsid w:val="00652BBC"/>
    <w:rsid w:val="006549E1"/>
    <w:rsid w:val="006665E8"/>
    <w:rsid w:val="006758DD"/>
    <w:rsid w:val="006765AC"/>
    <w:rsid w:val="00683D24"/>
    <w:rsid w:val="00685E37"/>
    <w:rsid w:val="006861B1"/>
    <w:rsid w:val="00686991"/>
    <w:rsid w:val="006A119D"/>
    <w:rsid w:val="006A412B"/>
    <w:rsid w:val="006A4988"/>
    <w:rsid w:val="006A50D9"/>
    <w:rsid w:val="006A7813"/>
    <w:rsid w:val="006B462A"/>
    <w:rsid w:val="006B7728"/>
    <w:rsid w:val="006B7777"/>
    <w:rsid w:val="006C0310"/>
    <w:rsid w:val="006C06D5"/>
    <w:rsid w:val="006C18E9"/>
    <w:rsid w:val="006C1EDE"/>
    <w:rsid w:val="006C7079"/>
    <w:rsid w:val="006C7597"/>
    <w:rsid w:val="006D048F"/>
    <w:rsid w:val="006D21AC"/>
    <w:rsid w:val="006D60EB"/>
    <w:rsid w:val="006E20A4"/>
    <w:rsid w:val="006E291C"/>
    <w:rsid w:val="006E4994"/>
    <w:rsid w:val="006E73A7"/>
    <w:rsid w:val="006E793B"/>
    <w:rsid w:val="006F74D3"/>
    <w:rsid w:val="00700864"/>
    <w:rsid w:val="00700E72"/>
    <w:rsid w:val="00702AE1"/>
    <w:rsid w:val="00704B1C"/>
    <w:rsid w:val="007053D6"/>
    <w:rsid w:val="00706A3F"/>
    <w:rsid w:val="00706D9B"/>
    <w:rsid w:val="00710DCE"/>
    <w:rsid w:val="00710E98"/>
    <w:rsid w:val="00713A8B"/>
    <w:rsid w:val="007171FD"/>
    <w:rsid w:val="00721F36"/>
    <w:rsid w:val="00727FE6"/>
    <w:rsid w:val="007307ED"/>
    <w:rsid w:val="007415C4"/>
    <w:rsid w:val="00745764"/>
    <w:rsid w:val="0074671B"/>
    <w:rsid w:val="00755BA8"/>
    <w:rsid w:val="0075614D"/>
    <w:rsid w:val="0076139D"/>
    <w:rsid w:val="007640E5"/>
    <w:rsid w:val="00767A39"/>
    <w:rsid w:val="00771753"/>
    <w:rsid w:val="00772BB2"/>
    <w:rsid w:val="00773B0E"/>
    <w:rsid w:val="00774B0C"/>
    <w:rsid w:val="0077619A"/>
    <w:rsid w:val="007818A7"/>
    <w:rsid w:val="00786C30"/>
    <w:rsid w:val="00793C76"/>
    <w:rsid w:val="0079460B"/>
    <w:rsid w:val="00794BE7"/>
    <w:rsid w:val="007974E1"/>
    <w:rsid w:val="007C0A2A"/>
    <w:rsid w:val="007C3363"/>
    <w:rsid w:val="007C566A"/>
    <w:rsid w:val="007C6EBB"/>
    <w:rsid w:val="007D29E3"/>
    <w:rsid w:val="007D3624"/>
    <w:rsid w:val="007D6342"/>
    <w:rsid w:val="007E0821"/>
    <w:rsid w:val="007E32A3"/>
    <w:rsid w:val="007F3D3C"/>
    <w:rsid w:val="007F53B8"/>
    <w:rsid w:val="00801757"/>
    <w:rsid w:val="00812219"/>
    <w:rsid w:val="00815CBB"/>
    <w:rsid w:val="00822C23"/>
    <w:rsid w:val="00822DC8"/>
    <w:rsid w:val="00823514"/>
    <w:rsid w:val="0082374E"/>
    <w:rsid w:val="0082629B"/>
    <w:rsid w:val="008266F2"/>
    <w:rsid w:val="008306A3"/>
    <w:rsid w:val="00832440"/>
    <w:rsid w:val="008324AF"/>
    <w:rsid w:val="00837FE9"/>
    <w:rsid w:val="008425C0"/>
    <w:rsid w:val="00845115"/>
    <w:rsid w:val="008509F8"/>
    <w:rsid w:val="00854DA6"/>
    <w:rsid w:val="00855FCF"/>
    <w:rsid w:val="0085796F"/>
    <w:rsid w:val="008607E6"/>
    <w:rsid w:val="00861897"/>
    <w:rsid w:val="00865654"/>
    <w:rsid w:val="00867472"/>
    <w:rsid w:val="00867C19"/>
    <w:rsid w:val="00872766"/>
    <w:rsid w:val="00874782"/>
    <w:rsid w:val="008777F0"/>
    <w:rsid w:val="00887962"/>
    <w:rsid w:val="00890D0B"/>
    <w:rsid w:val="008924E0"/>
    <w:rsid w:val="008926F4"/>
    <w:rsid w:val="00892F4B"/>
    <w:rsid w:val="00896EBA"/>
    <w:rsid w:val="008A3769"/>
    <w:rsid w:val="008A4032"/>
    <w:rsid w:val="008A44E5"/>
    <w:rsid w:val="008A6948"/>
    <w:rsid w:val="008B0D70"/>
    <w:rsid w:val="008B12EB"/>
    <w:rsid w:val="008B3B0C"/>
    <w:rsid w:val="008B5239"/>
    <w:rsid w:val="008C1DD0"/>
    <w:rsid w:val="008C2C7D"/>
    <w:rsid w:val="008C31EE"/>
    <w:rsid w:val="008D14DD"/>
    <w:rsid w:val="008D6244"/>
    <w:rsid w:val="008E1A28"/>
    <w:rsid w:val="008E345C"/>
    <w:rsid w:val="008E5004"/>
    <w:rsid w:val="008E5D9C"/>
    <w:rsid w:val="008F1B82"/>
    <w:rsid w:val="008F40C7"/>
    <w:rsid w:val="008F5A4C"/>
    <w:rsid w:val="008F7CCA"/>
    <w:rsid w:val="0090198D"/>
    <w:rsid w:val="00901A8A"/>
    <w:rsid w:val="00901FC8"/>
    <w:rsid w:val="00905C2D"/>
    <w:rsid w:val="0090737A"/>
    <w:rsid w:val="00911377"/>
    <w:rsid w:val="0091217B"/>
    <w:rsid w:val="009129B3"/>
    <w:rsid w:val="00915930"/>
    <w:rsid w:val="0091593E"/>
    <w:rsid w:val="00921602"/>
    <w:rsid w:val="0093080B"/>
    <w:rsid w:val="0093756A"/>
    <w:rsid w:val="00940F19"/>
    <w:rsid w:val="0094237F"/>
    <w:rsid w:val="009439A0"/>
    <w:rsid w:val="009439EA"/>
    <w:rsid w:val="00950383"/>
    <w:rsid w:val="009512EC"/>
    <w:rsid w:val="0095516B"/>
    <w:rsid w:val="009554A9"/>
    <w:rsid w:val="00956817"/>
    <w:rsid w:val="0096631F"/>
    <w:rsid w:val="00967C20"/>
    <w:rsid w:val="00967D20"/>
    <w:rsid w:val="00972B06"/>
    <w:rsid w:val="00976513"/>
    <w:rsid w:val="00977169"/>
    <w:rsid w:val="00981C62"/>
    <w:rsid w:val="00982A9E"/>
    <w:rsid w:val="009900D2"/>
    <w:rsid w:val="00991016"/>
    <w:rsid w:val="00993EC8"/>
    <w:rsid w:val="009A06A9"/>
    <w:rsid w:val="009A3380"/>
    <w:rsid w:val="009A3463"/>
    <w:rsid w:val="009A5197"/>
    <w:rsid w:val="009A622B"/>
    <w:rsid w:val="009B09C3"/>
    <w:rsid w:val="009B7B1B"/>
    <w:rsid w:val="009C0CA4"/>
    <w:rsid w:val="009C177B"/>
    <w:rsid w:val="009C2CB7"/>
    <w:rsid w:val="009C63B8"/>
    <w:rsid w:val="009C6554"/>
    <w:rsid w:val="009C7BAE"/>
    <w:rsid w:val="009C7BD3"/>
    <w:rsid w:val="009C7CBC"/>
    <w:rsid w:val="009D6DD7"/>
    <w:rsid w:val="009E4B1C"/>
    <w:rsid w:val="009F177F"/>
    <w:rsid w:val="009F1DD1"/>
    <w:rsid w:val="009F78FF"/>
    <w:rsid w:val="00A00C28"/>
    <w:rsid w:val="00A0187D"/>
    <w:rsid w:val="00A076BC"/>
    <w:rsid w:val="00A12DF9"/>
    <w:rsid w:val="00A251B8"/>
    <w:rsid w:val="00A36080"/>
    <w:rsid w:val="00A37FE5"/>
    <w:rsid w:val="00A4466A"/>
    <w:rsid w:val="00A501AF"/>
    <w:rsid w:val="00A50A2E"/>
    <w:rsid w:val="00A51C88"/>
    <w:rsid w:val="00A5466E"/>
    <w:rsid w:val="00A54E80"/>
    <w:rsid w:val="00A57280"/>
    <w:rsid w:val="00A65AAC"/>
    <w:rsid w:val="00A66056"/>
    <w:rsid w:val="00A66B42"/>
    <w:rsid w:val="00A672B4"/>
    <w:rsid w:val="00A70A91"/>
    <w:rsid w:val="00A77A51"/>
    <w:rsid w:val="00A81B7B"/>
    <w:rsid w:val="00A81D40"/>
    <w:rsid w:val="00A83761"/>
    <w:rsid w:val="00A85D79"/>
    <w:rsid w:val="00A87C5C"/>
    <w:rsid w:val="00A87E70"/>
    <w:rsid w:val="00A915DA"/>
    <w:rsid w:val="00A93CC1"/>
    <w:rsid w:val="00AA1BC1"/>
    <w:rsid w:val="00AA5151"/>
    <w:rsid w:val="00AA72E2"/>
    <w:rsid w:val="00AA7E12"/>
    <w:rsid w:val="00AB110E"/>
    <w:rsid w:val="00AB17DE"/>
    <w:rsid w:val="00AB6928"/>
    <w:rsid w:val="00AC40CF"/>
    <w:rsid w:val="00AD0E86"/>
    <w:rsid w:val="00AD534B"/>
    <w:rsid w:val="00AE2215"/>
    <w:rsid w:val="00AF42D6"/>
    <w:rsid w:val="00AF72C2"/>
    <w:rsid w:val="00B0487E"/>
    <w:rsid w:val="00B11612"/>
    <w:rsid w:val="00B13853"/>
    <w:rsid w:val="00B13F76"/>
    <w:rsid w:val="00B140E4"/>
    <w:rsid w:val="00B20668"/>
    <w:rsid w:val="00B22A9C"/>
    <w:rsid w:val="00B3023F"/>
    <w:rsid w:val="00B323B5"/>
    <w:rsid w:val="00B32FD8"/>
    <w:rsid w:val="00B343B4"/>
    <w:rsid w:val="00B35FE6"/>
    <w:rsid w:val="00B40ED0"/>
    <w:rsid w:val="00B450A7"/>
    <w:rsid w:val="00B452A6"/>
    <w:rsid w:val="00B476E4"/>
    <w:rsid w:val="00B51EA5"/>
    <w:rsid w:val="00B5416A"/>
    <w:rsid w:val="00B574F4"/>
    <w:rsid w:val="00B6060C"/>
    <w:rsid w:val="00B618E8"/>
    <w:rsid w:val="00B71345"/>
    <w:rsid w:val="00B714E1"/>
    <w:rsid w:val="00B732CD"/>
    <w:rsid w:val="00B7603A"/>
    <w:rsid w:val="00B81118"/>
    <w:rsid w:val="00B84669"/>
    <w:rsid w:val="00B9297A"/>
    <w:rsid w:val="00B940DB"/>
    <w:rsid w:val="00B9526F"/>
    <w:rsid w:val="00BA339F"/>
    <w:rsid w:val="00BA57A4"/>
    <w:rsid w:val="00BA6EFD"/>
    <w:rsid w:val="00BA6FCE"/>
    <w:rsid w:val="00BA7F03"/>
    <w:rsid w:val="00BB0AB0"/>
    <w:rsid w:val="00BB1BBD"/>
    <w:rsid w:val="00BB1C55"/>
    <w:rsid w:val="00BB3342"/>
    <w:rsid w:val="00BB4460"/>
    <w:rsid w:val="00BC4243"/>
    <w:rsid w:val="00BC485F"/>
    <w:rsid w:val="00BC7A9B"/>
    <w:rsid w:val="00BD56BF"/>
    <w:rsid w:val="00BE4808"/>
    <w:rsid w:val="00BE4D42"/>
    <w:rsid w:val="00BE62E0"/>
    <w:rsid w:val="00C04AB7"/>
    <w:rsid w:val="00C10F57"/>
    <w:rsid w:val="00C113CE"/>
    <w:rsid w:val="00C16F0B"/>
    <w:rsid w:val="00C20178"/>
    <w:rsid w:val="00C239D4"/>
    <w:rsid w:val="00C23E64"/>
    <w:rsid w:val="00C23F70"/>
    <w:rsid w:val="00C25BED"/>
    <w:rsid w:val="00C30E3F"/>
    <w:rsid w:val="00C31BD5"/>
    <w:rsid w:val="00C34FE4"/>
    <w:rsid w:val="00C43F9B"/>
    <w:rsid w:val="00C44052"/>
    <w:rsid w:val="00C461B3"/>
    <w:rsid w:val="00C51A5E"/>
    <w:rsid w:val="00C606FE"/>
    <w:rsid w:val="00C616B7"/>
    <w:rsid w:val="00C64E2B"/>
    <w:rsid w:val="00C72263"/>
    <w:rsid w:val="00C762EC"/>
    <w:rsid w:val="00C77E30"/>
    <w:rsid w:val="00C909ED"/>
    <w:rsid w:val="00C92311"/>
    <w:rsid w:val="00C9300D"/>
    <w:rsid w:val="00CA5953"/>
    <w:rsid w:val="00CB0493"/>
    <w:rsid w:val="00CB5A11"/>
    <w:rsid w:val="00CC478F"/>
    <w:rsid w:val="00CC490A"/>
    <w:rsid w:val="00CC617F"/>
    <w:rsid w:val="00CC7084"/>
    <w:rsid w:val="00CD2647"/>
    <w:rsid w:val="00CD62B8"/>
    <w:rsid w:val="00CE4305"/>
    <w:rsid w:val="00CE6E63"/>
    <w:rsid w:val="00CE7B5A"/>
    <w:rsid w:val="00CF0F1B"/>
    <w:rsid w:val="00CF1D0E"/>
    <w:rsid w:val="00CF7D4B"/>
    <w:rsid w:val="00D00D62"/>
    <w:rsid w:val="00D0225E"/>
    <w:rsid w:val="00D05CD0"/>
    <w:rsid w:val="00D13213"/>
    <w:rsid w:val="00D15B8A"/>
    <w:rsid w:val="00D200DB"/>
    <w:rsid w:val="00D20EEC"/>
    <w:rsid w:val="00D23FBD"/>
    <w:rsid w:val="00D2585A"/>
    <w:rsid w:val="00D275D7"/>
    <w:rsid w:val="00D30AFA"/>
    <w:rsid w:val="00D3319A"/>
    <w:rsid w:val="00D357BB"/>
    <w:rsid w:val="00D46309"/>
    <w:rsid w:val="00D47131"/>
    <w:rsid w:val="00D51CCE"/>
    <w:rsid w:val="00D53A11"/>
    <w:rsid w:val="00D623C5"/>
    <w:rsid w:val="00D64264"/>
    <w:rsid w:val="00D806E3"/>
    <w:rsid w:val="00D83D84"/>
    <w:rsid w:val="00D85514"/>
    <w:rsid w:val="00D875D4"/>
    <w:rsid w:val="00D87C4B"/>
    <w:rsid w:val="00D90A34"/>
    <w:rsid w:val="00D95A91"/>
    <w:rsid w:val="00DA0151"/>
    <w:rsid w:val="00DA22DA"/>
    <w:rsid w:val="00DA2D1D"/>
    <w:rsid w:val="00DA4A45"/>
    <w:rsid w:val="00DB044A"/>
    <w:rsid w:val="00DB0A7B"/>
    <w:rsid w:val="00DB5E5B"/>
    <w:rsid w:val="00DB64E1"/>
    <w:rsid w:val="00DB77C2"/>
    <w:rsid w:val="00DB7CAA"/>
    <w:rsid w:val="00DC08DA"/>
    <w:rsid w:val="00DC3965"/>
    <w:rsid w:val="00DC58D4"/>
    <w:rsid w:val="00DC5946"/>
    <w:rsid w:val="00DC740A"/>
    <w:rsid w:val="00DC7864"/>
    <w:rsid w:val="00DC7B4E"/>
    <w:rsid w:val="00DD7BD5"/>
    <w:rsid w:val="00DE1741"/>
    <w:rsid w:val="00DE1A3E"/>
    <w:rsid w:val="00DE6E28"/>
    <w:rsid w:val="00DE7CCE"/>
    <w:rsid w:val="00DF2D12"/>
    <w:rsid w:val="00DF45B0"/>
    <w:rsid w:val="00DF7C91"/>
    <w:rsid w:val="00E0659D"/>
    <w:rsid w:val="00E1406A"/>
    <w:rsid w:val="00E160AD"/>
    <w:rsid w:val="00E21893"/>
    <w:rsid w:val="00E22863"/>
    <w:rsid w:val="00E26BA2"/>
    <w:rsid w:val="00E279E7"/>
    <w:rsid w:val="00E324ED"/>
    <w:rsid w:val="00E3513F"/>
    <w:rsid w:val="00E40A85"/>
    <w:rsid w:val="00E43435"/>
    <w:rsid w:val="00E46494"/>
    <w:rsid w:val="00E47EB7"/>
    <w:rsid w:val="00E52631"/>
    <w:rsid w:val="00E539D7"/>
    <w:rsid w:val="00E53A97"/>
    <w:rsid w:val="00E53C7F"/>
    <w:rsid w:val="00E57160"/>
    <w:rsid w:val="00E5737C"/>
    <w:rsid w:val="00E61011"/>
    <w:rsid w:val="00E646E1"/>
    <w:rsid w:val="00E739B0"/>
    <w:rsid w:val="00E82FAB"/>
    <w:rsid w:val="00E851FA"/>
    <w:rsid w:val="00E85200"/>
    <w:rsid w:val="00E9309D"/>
    <w:rsid w:val="00E97E31"/>
    <w:rsid w:val="00EA1D7F"/>
    <w:rsid w:val="00EA259A"/>
    <w:rsid w:val="00EB4432"/>
    <w:rsid w:val="00EB5C07"/>
    <w:rsid w:val="00EC12F0"/>
    <w:rsid w:val="00EC5E65"/>
    <w:rsid w:val="00EC65AF"/>
    <w:rsid w:val="00ED0EA4"/>
    <w:rsid w:val="00ED2488"/>
    <w:rsid w:val="00ED6FC5"/>
    <w:rsid w:val="00EE0A13"/>
    <w:rsid w:val="00EE1FFD"/>
    <w:rsid w:val="00EE3F33"/>
    <w:rsid w:val="00EF05D0"/>
    <w:rsid w:val="00EF292C"/>
    <w:rsid w:val="00EF7F60"/>
    <w:rsid w:val="00F011C5"/>
    <w:rsid w:val="00F020BC"/>
    <w:rsid w:val="00F0645C"/>
    <w:rsid w:val="00F10DB0"/>
    <w:rsid w:val="00F15494"/>
    <w:rsid w:val="00F24287"/>
    <w:rsid w:val="00F24C5F"/>
    <w:rsid w:val="00F2547D"/>
    <w:rsid w:val="00F25775"/>
    <w:rsid w:val="00F30E16"/>
    <w:rsid w:val="00F374E7"/>
    <w:rsid w:val="00F40810"/>
    <w:rsid w:val="00F45D62"/>
    <w:rsid w:val="00F5201D"/>
    <w:rsid w:val="00F56E76"/>
    <w:rsid w:val="00F5746A"/>
    <w:rsid w:val="00F6295B"/>
    <w:rsid w:val="00F657E8"/>
    <w:rsid w:val="00F712D8"/>
    <w:rsid w:val="00F72160"/>
    <w:rsid w:val="00F73670"/>
    <w:rsid w:val="00F76796"/>
    <w:rsid w:val="00F7718A"/>
    <w:rsid w:val="00F834DC"/>
    <w:rsid w:val="00F83C36"/>
    <w:rsid w:val="00F862DF"/>
    <w:rsid w:val="00F8743C"/>
    <w:rsid w:val="00F91034"/>
    <w:rsid w:val="00F942A6"/>
    <w:rsid w:val="00F9579F"/>
    <w:rsid w:val="00F95B32"/>
    <w:rsid w:val="00F96408"/>
    <w:rsid w:val="00F96792"/>
    <w:rsid w:val="00F97E61"/>
    <w:rsid w:val="00FA2F6A"/>
    <w:rsid w:val="00FA3238"/>
    <w:rsid w:val="00FB68CB"/>
    <w:rsid w:val="00FB715F"/>
    <w:rsid w:val="00FC02EE"/>
    <w:rsid w:val="00FC280B"/>
    <w:rsid w:val="00FC29ED"/>
    <w:rsid w:val="00FC3326"/>
    <w:rsid w:val="00FC384D"/>
    <w:rsid w:val="00FD0244"/>
    <w:rsid w:val="00FD3659"/>
    <w:rsid w:val="00FD5B97"/>
    <w:rsid w:val="00FD5F1A"/>
    <w:rsid w:val="00FD61D6"/>
    <w:rsid w:val="00FD6F58"/>
    <w:rsid w:val="00FD7433"/>
    <w:rsid w:val="00FE10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C21B51"/>
  <w15:docId w15:val="{6C9E1447-9732-4047-8CC7-847D9DAD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2E2"/>
    <w:pPr>
      <w:spacing w:after="0" w:line="240" w:lineRule="auto"/>
    </w:pPr>
    <w:rPr>
      <w:rFonts w:eastAsia="Times New Roman"/>
      <w:szCs w:val="24"/>
    </w:rPr>
  </w:style>
  <w:style w:type="paragraph" w:styleId="Heading1">
    <w:name w:val="heading 1"/>
    <w:basedOn w:val="Normal"/>
    <w:next w:val="Normal"/>
    <w:link w:val="Heading1Char"/>
    <w:uiPriority w:val="9"/>
    <w:qFormat/>
    <w:rsid w:val="00702AE1"/>
    <w:pPr>
      <w:keepNext/>
      <w:keepLines/>
      <w:numPr>
        <w:numId w:val="4"/>
      </w:numPr>
      <w:spacing w:before="360" w:after="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702AE1"/>
    <w:pPr>
      <w:keepNext/>
      <w:keepLines/>
      <w:numPr>
        <w:ilvl w:val="1"/>
        <w:numId w:val="4"/>
      </w:numPr>
      <w:spacing w:before="360" w:after="24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702AE1"/>
    <w:pPr>
      <w:keepNext/>
      <w:keepLines/>
      <w:numPr>
        <w:ilvl w:val="2"/>
        <w:numId w:val="4"/>
      </w:numPr>
      <w:spacing w:before="360" w:after="240"/>
      <w:ind w:left="2517" w:hanging="1077"/>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02AE1"/>
    <w:pPr>
      <w:keepNext/>
      <w:keepLines/>
      <w:numPr>
        <w:ilvl w:val="3"/>
        <w:numId w:val="4"/>
      </w:numPr>
      <w:spacing w:before="360" w:after="240"/>
      <w:ind w:left="2517"/>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rsid w:val="00B140E4"/>
    <w:pPr>
      <w:keepNext/>
      <w:keepLines/>
      <w:numPr>
        <w:ilvl w:val="4"/>
        <w:numId w:val="4"/>
      </w:numPr>
      <w:jc w:val="center"/>
      <w:outlineLvl w:val="4"/>
    </w:pPr>
    <w:rPr>
      <w:rFonts w:ascii="Arial" w:eastAsiaTheme="majorEastAsia" w:hAnsi="Arial" w:cstheme="majorBidi"/>
      <w:b/>
      <w:sz w:val="20"/>
    </w:rPr>
  </w:style>
  <w:style w:type="paragraph" w:styleId="Heading6">
    <w:name w:val="heading 6"/>
    <w:basedOn w:val="Normal"/>
    <w:next w:val="Normal"/>
    <w:link w:val="Heading6Char"/>
    <w:uiPriority w:val="9"/>
    <w:semiHidden/>
    <w:unhideWhenUsed/>
    <w:rsid w:val="004746D5"/>
    <w:pPr>
      <w:keepNext/>
      <w:keepLines/>
      <w:numPr>
        <w:ilvl w:val="5"/>
        <w:numId w:val="4"/>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746D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6D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endix"/>
    <w:basedOn w:val="Normal"/>
    <w:next w:val="Normal"/>
    <w:link w:val="Heading9Char"/>
    <w:uiPriority w:val="9"/>
    <w:unhideWhenUsed/>
    <w:rsid w:val="00B140E4"/>
    <w:pPr>
      <w:keepNext/>
      <w:keepLines/>
      <w:jc w:val="center"/>
      <w:outlineLvl w:val="8"/>
    </w:pPr>
    <w:rPr>
      <w:rFonts w:ascii="Arial" w:eastAsiaTheme="majorEastAsia" w:hAnsi="Arial"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rsid w:val="00BE62E0"/>
    <w:rPr>
      <w:i/>
      <w:iCs/>
      <w:color w:val="808080" w:themeColor="text1" w:themeTint="7F"/>
    </w:rPr>
  </w:style>
  <w:style w:type="character" w:customStyle="1" w:styleId="Heading1Char">
    <w:name w:val="Heading 1 Char"/>
    <w:basedOn w:val="DefaultParagraphFont"/>
    <w:link w:val="Heading1"/>
    <w:uiPriority w:val="9"/>
    <w:rsid w:val="00702AE1"/>
    <w:rPr>
      <w:rFonts w:ascii="Arial" w:eastAsiaTheme="majorEastAsia" w:hAnsi="Arial" w:cstheme="majorBidi"/>
      <w:b/>
      <w:bCs/>
      <w:szCs w:val="28"/>
      <w:lang w:val="en-CA"/>
    </w:rPr>
  </w:style>
  <w:style w:type="character" w:customStyle="1" w:styleId="Heading2Char">
    <w:name w:val="Heading 2 Char"/>
    <w:basedOn w:val="DefaultParagraphFont"/>
    <w:link w:val="Heading2"/>
    <w:uiPriority w:val="9"/>
    <w:rsid w:val="00702AE1"/>
    <w:rPr>
      <w:rFonts w:ascii="Arial" w:eastAsiaTheme="majorEastAsia" w:hAnsi="Arial" w:cstheme="majorBidi"/>
      <w:b/>
      <w:bCs/>
      <w:szCs w:val="26"/>
      <w:lang w:val="en-CA"/>
    </w:rPr>
  </w:style>
  <w:style w:type="character" w:customStyle="1" w:styleId="Heading3Char">
    <w:name w:val="Heading 3 Char"/>
    <w:basedOn w:val="DefaultParagraphFont"/>
    <w:link w:val="Heading3"/>
    <w:uiPriority w:val="9"/>
    <w:rsid w:val="00702AE1"/>
    <w:rPr>
      <w:rFonts w:ascii="Arial" w:eastAsiaTheme="majorEastAsia" w:hAnsi="Arial" w:cstheme="majorBidi"/>
      <w:b/>
      <w:bCs/>
      <w:lang w:val="en-CA"/>
    </w:rPr>
  </w:style>
  <w:style w:type="character" w:customStyle="1" w:styleId="Heading4Char">
    <w:name w:val="Heading 4 Char"/>
    <w:basedOn w:val="DefaultParagraphFont"/>
    <w:link w:val="Heading4"/>
    <w:uiPriority w:val="9"/>
    <w:rsid w:val="00702AE1"/>
    <w:rPr>
      <w:rFonts w:ascii="Arial" w:eastAsiaTheme="majorEastAsia" w:hAnsi="Arial" w:cstheme="majorBidi"/>
      <w:b/>
      <w:bCs/>
      <w:i/>
      <w:iCs/>
      <w:lang w:val="en-CA"/>
    </w:rPr>
  </w:style>
  <w:style w:type="character" w:customStyle="1" w:styleId="Heading5Char">
    <w:name w:val="Heading 5 Char"/>
    <w:basedOn w:val="DefaultParagraphFont"/>
    <w:link w:val="Heading5"/>
    <w:uiPriority w:val="9"/>
    <w:rsid w:val="00B140E4"/>
    <w:rPr>
      <w:rFonts w:ascii="Arial" w:eastAsiaTheme="majorEastAsia" w:hAnsi="Arial" w:cstheme="majorBidi"/>
      <w:b/>
      <w:sz w:val="20"/>
      <w:lang w:val="en-CA"/>
    </w:rPr>
  </w:style>
  <w:style w:type="character" w:customStyle="1" w:styleId="Heading6Char">
    <w:name w:val="Heading 6 Char"/>
    <w:basedOn w:val="DefaultParagraphFont"/>
    <w:link w:val="Heading6"/>
    <w:uiPriority w:val="9"/>
    <w:semiHidden/>
    <w:rsid w:val="001C4294"/>
    <w:rPr>
      <w:rFonts w:eastAsiaTheme="majorEastAsia" w:cstheme="majorBidi"/>
      <w:b/>
      <w:iCs/>
      <w:lang w:val="en-CA"/>
    </w:rPr>
  </w:style>
  <w:style w:type="character" w:customStyle="1" w:styleId="Heading7Char">
    <w:name w:val="Heading 7 Char"/>
    <w:basedOn w:val="DefaultParagraphFont"/>
    <w:link w:val="Heading7"/>
    <w:uiPriority w:val="9"/>
    <w:semiHidden/>
    <w:rsid w:val="001C4294"/>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sid w:val="001C4294"/>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aliases w:val="Appendix Char"/>
    <w:basedOn w:val="DefaultParagraphFont"/>
    <w:link w:val="Heading9"/>
    <w:uiPriority w:val="9"/>
    <w:rsid w:val="00B140E4"/>
    <w:rPr>
      <w:rFonts w:ascii="Arial" w:eastAsiaTheme="majorEastAsia" w:hAnsi="Arial" w:cstheme="majorBidi"/>
      <w:b/>
      <w:iCs/>
      <w:sz w:val="20"/>
      <w:szCs w:val="20"/>
      <w:lang w:val="en-CA"/>
    </w:rPr>
  </w:style>
  <w:style w:type="paragraph" w:styleId="TOC1">
    <w:name w:val="toc 1"/>
    <w:basedOn w:val="Normal"/>
    <w:next w:val="Normal"/>
    <w:autoRedefine/>
    <w:uiPriority w:val="39"/>
    <w:unhideWhenUsed/>
    <w:rsid w:val="00220852"/>
  </w:style>
  <w:style w:type="paragraph" w:styleId="TOC2">
    <w:name w:val="toc 2"/>
    <w:basedOn w:val="Normal"/>
    <w:next w:val="Normal"/>
    <w:autoRedefine/>
    <w:uiPriority w:val="39"/>
    <w:unhideWhenUsed/>
    <w:rsid w:val="00220852"/>
    <w:pPr>
      <w:ind w:left="720"/>
    </w:pPr>
  </w:style>
  <w:style w:type="paragraph" w:styleId="Caption">
    <w:name w:val="caption"/>
    <w:basedOn w:val="Normal"/>
    <w:next w:val="Normal"/>
    <w:uiPriority w:val="35"/>
    <w:unhideWhenUsed/>
    <w:qFormat/>
    <w:rsid w:val="007F53B8"/>
    <w:rPr>
      <w:rFonts w:ascii="Arial" w:hAnsi="Arial"/>
      <w:b/>
      <w:bCs/>
      <w:sz w:val="20"/>
      <w:szCs w:val="18"/>
    </w:rPr>
  </w:style>
  <w:style w:type="paragraph" w:customStyle="1" w:styleId="Bullet">
    <w:name w:val="Bullet"/>
    <w:basedOn w:val="Normal"/>
    <w:link w:val="BulletChar"/>
    <w:qFormat/>
    <w:rsid w:val="00702AE1"/>
    <w:pPr>
      <w:numPr>
        <w:numId w:val="5"/>
      </w:numPr>
      <w:spacing w:after="240"/>
      <w:ind w:left="714" w:hanging="357"/>
    </w:pPr>
  </w:style>
  <w:style w:type="character" w:customStyle="1" w:styleId="BulletChar">
    <w:name w:val="Bullet Char"/>
    <w:basedOn w:val="DefaultParagraphFont"/>
    <w:link w:val="Bullet"/>
    <w:rsid w:val="00702AE1"/>
    <w:rPr>
      <w:lang w:val="en-CA"/>
    </w:rPr>
  </w:style>
  <w:style w:type="paragraph" w:styleId="TableofFigures">
    <w:name w:val="table of figures"/>
    <w:basedOn w:val="Normal"/>
    <w:next w:val="Normal"/>
    <w:uiPriority w:val="99"/>
    <w:unhideWhenUsed/>
    <w:rsid w:val="00220852"/>
  </w:style>
  <w:style w:type="table" w:styleId="TableGrid">
    <w:name w:val="Table Grid"/>
    <w:basedOn w:val="TableNormal"/>
    <w:uiPriority w:val="59"/>
    <w:rsid w:val="00C51A5E"/>
    <w:pPr>
      <w:spacing w:after="0" w:line="240" w:lineRule="auto"/>
    </w:pPr>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Header"/>
    <w:basedOn w:val="Caption"/>
    <w:link w:val="Table-HeaderChar"/>
    <w:rsid w:val="00C51A5E"/>
  </w:style>
  <w:style w:type="character" w:customStyle="1" w:styleId="Table-HeaderChar">
    <w:name w:val="Table-Header Char"/>
    <w:basedOn w:val="DefaultParagraphFont"/>
    <w:link w:val="Table-Header"/>
    <w:rsid w:val="00C51A5E"/>
    <w:rPr>
      <w:rFonts w:ascii="Arial" w:hAnsi="Arial"/>
      <w:b/>
      <w:bCs/>
      <w:sz w:val="20"/>
      <w:szCs w:val="18"/>
      <w:lang w:val="en-CA"/>
    </w:rPr>
  </w:style>
  <w:style w:type="paragraph" w:customStyle="1" w:styleId="Table-Body">
    <w:name w:val="Table-Body"/>
    <w:basedOn w:val="Normal"/>
    <w:link w:val="Table-BodyChar"/>
    <w:rsid w:val="00C51A5E"/>
    <w:rPr>
      <w:rFonts w:ascii="Arial" w:hAnsi="Arial" w:cs="Arial"/>
      <w:sz w:val="20"/>
      <w:szCs w:val="20"/>
    </w:rPr>
  </w:style>
  <w:style w:type="character" w:customStyle="1" w:styleId="Table-BodyChar">
    <w:name w:val="Table-Body Char"/>
    <w:basedOn w:val="Table-HeaderChar"/>
    <w:link w:val="Table-Body"/>
    <w:rsid w:val="00C51A5E"/>
    <w:rPr>
      <w:rFonts w:ascii="Arial" w:hAnsi="Arial" w:cs="Arial"/>
      <w:b/>
      <w:bCs/>
      <w:sz w:val="20"/>
      <w:szCs w:val="20"/>
      <w:lang w:val="en-CA"/>
    </w:rPr>
  </w:style>
  <w:style w:type="paragraph" w:styleId="TOC3">
    <w:name w:val="toc 3"/>
    <w:basedOn w:val="Normal"/>
    <w:next w:val="Normal"/>
    <w:autoRedefine/>
    <w:uiPriority w:val="39"/>
    <w:semiHidden/>
    <w:unhideWhenUsed/>
    <w:rsid w:val="00BC485F"/>
    <w:pPr>
      <w:spacing w:after="100"/>
      <w:ind w:left="480"/>
    </w:pPr>
  </w:style>
  <w:style w:type="paragraph" w:customStyle="1" w:styleId="Text">
    <w:name w:val="Text"/>
    <w:basedOn w:val="Normal"/>
    <w:qFormat/>
    <w:rsid w:val="00615716"/>
    <w:pPr>
      <w:spacing w:before="240" w:after="240"/>
    </w:pPr>
  </w:style>
  <w:style w:type="paragraph" w:customStyle="1" w:styleId="PRATableText">
    <w:name w:val="PRA Table Text"/>
    <w:basedOn w:val="Normal"/>
    <w:rsid w:val="00702AE1"/>
    <w:pPr>
      <w:tabs>
        <w:tab w:val="left" w:pos="144"/>
      </w:tabs>
    </w:pPr>
    <w:rPr>
      <w:rFonts w:ascii="Arial" w:hAnsi="Arial" w:cs="Arial"/>
      <w:sz w:val="20"/>
      <w:szCs w:val="20"/>
    </w:rPr>
  </w:style>
  <w:style w:type="paragraph" w:customStyle="1" w:styleId="PRATableHeader">
    <w:name w:val="PRA Table Header"/>
    <w:basedOn w:val="Normal"/>
    <w:rsid w:val="00702AE1"/>
    <w:pPr>
      <w:tabs>
        <w:tab w:val="left" w:pos="144"/>
      </w:tabs>
      <w:jc w:val="center"/>
    </w:pPr>
    <w:rPr>
      <w:rFonts w:ascii="Arial" w:hAnsi="Arial" w:cs="Arial"/>
      <w:b/>
      <w:sz w:val="20"/>
      <w:szCs w:val="20"/>
    </w:rPr>
  </w:style>
  <w:style w:type="paragraph" w:styleId="Footer">
    <w:name w:val="footer"/>
    <w:basedOn w:val="Normal"/>
    <w:link w:val="FooterChar"/>
    <w:uiPriority w:val="99"/>
    <w:rsid w:val="00702AE1"/>
    <w:pPr>
      <w:tabs>
        <w:tab w:val="center" w:pos="4320"/>
        <w:tab w:val="right" w:pos="8640"/>
      </w:tabs>
    </w:pPr>
    <w:rPr>
      <w:lang w:eastAsia="en-CA"/>
    </w:rPr>
  </w:style>
  <w:style w:type="character" w:customStyle="1" w:styleId="FooterChar">
    <w:name w:val="Footer Char"/>
    <w:basedOn w:val="DefaultParagraphFont"/>
    <w:link w:val="Footer"/>
    <w:uiPriority w:val="99"/>
    <w:rsid w:val="00702AE1"/>
    <w:rPr>
      <w:rFonts w:eastAsia="Times New Roman"/>
      <w:szCs w:val="24"/>
      <w:lang w:val="en-CA" w:eastAsia="en-CA"/>
    </w:rPr>
  </w:style>
  <w:style w:type="paragraph" w:customStyle="1" w:styleId="Bullet2">
    <w:name w:val="Bullet 2"/>
    <w:basedOn w:val="ListParagraph"/>
    <w:qFormat/>
    <w:rsid w:val="00615716"/>
    <w:pPr>
      <w:numPr>
        <w:numId w:val="7"/>
      </w:numPr>
      <w:spacing w:after="240"/>
      <w:contextualSpacing w:val="0"/>
    </w:pPr>
  </w:style>
  <w:style w:type="paragraph" w:styleId="ListParagraph">
    <w:name w:val="List Paragraph"/>
    <w:basedOn w:val="Normal"/>
    <w:uiPriority w:val="34"/>
    <w:rsid w:val="00615716"/>
    <w:pPr>
      <w:ind w:left="720"/>
      <w:contextualSpacing/>
    </w:pPr>
  </w:style>
  <w:style w:type="paragraph" w:styleId="FootnoteText">
    <w:name w:val="footnote text"/>
    <w:basedOn w:val="Normal"/>
    <w:link w:val="FootnoteTextChar"/>
    <w:uiPriority w:val="99"/>
    <w:semiHidden/>
    <w:unhideWhenUsed/>
    <w:rsid w:val="00867C19"/>
    <w:rPr>
      <w:sz w:val="20"/>
      <w:szCs w:val="20"/>
    </w:rPr>
  </w:style>
  <w:style w:type="character" w:customStyle="1" w:styleId="FootnoteTextChar">
    <w:name w:val="Footnote Text Char"/>
    <w:basedOn w:val="DefaultParagraphFont"/>
    <w:link w:val="FootnoteText"/>
    <w:uiPriority w:val="99"/>
    <w:semiHidden/>
    <w:rsid w:val="00867C19"/>
    <w:rPr>
      <w:rFonts w:eastAsia="Times New Roman"/>
      <w:sz w:val="20"/>
      <w:szCs w:val="20"/>
    </w:rPr>
  </w:style>
  <w:style w:type="character" w:styleId="FootnoteReference">
    <w:name w:val="footnote reference"/>
    <w:basedOn w:val="DefaultParagraphFont"/>
    <w:uiPriority w:val="99"/>
    <w:semiHidden/>
    <w:unhideWhenUsed/>
    <w:rsid w:val="00867C19"/>
    <w:rPr>
      <w:vertAlign w:val="superscript"/>
    </w:rPr>
  </w:style>
  <w:style w:type="character" w:styleId="Hyperlink">
    <w:name w:val="Hyperlink"/>
    <w:basedOn w:val="DefaultParagraphFont"/>
    <w:uiPriority w:val="99"/>
    <w:unhideWhenUsed/>
    <w:rsid w:val="00867C19"/>
    <w:rPr>
      <w:color w:val="0000FF" w:themeColor="hyperlink"/>
      <w:u w:val="single"/>
    </w:rPr>
  </w:style>
  <w:style w:type="paragraph" w:styleId="Header">
    <w:name w:val="header"/>
    <w:basedOn w:val="Normal"/>
    <w:link w:val="HeaderChar"/>
    <w:uiPriority w:val="99"/>
    <w:unhideWhenUsed/>
    <w:rsid w:val="00867C19"/>
    <w:pPr>
      <w:tabs>
        <w:tab w:val="center" w:pos="4680"/>
        <w:tab w:val="right" w:pos="9360"/>
      </w:tabs>
    </w:pPr>
  </w:style>
  <w:style w:type="character" w:customStyle="1" w:styleId="HeaderChar">
    <w:name w:val="Header Char"/>
    <w:basedOn w:val="DefaultParagraphFont"/>
    <w:link w:val="Header"/>
    <w:uiPriority w:val="99"/>
    <w:rsid w:val="00867C19"/>
    <w:rPr>
      <w:rFonts w:eastAsia="Times New Roman"/>
      <w:szCs w:val="24"/>
    </w:rPr>
  </w:style>
  <w:style w:type="paragraph" w:styleId="BalloonText">
    <w:name w:val="Balloon Text"/>
    <w:basedOn w:val="Normal"/>
    <w:link w:val="BalloonTextChar"/>
    <w:uiPriority w:val="99"/>
    <w:semiHidden/>
    <w:unhideWhenUsed/>
    <w:rsid w:val="00867C19"/>
    <w:rPr>
      <w:rFonts w:ascii="Tahoma" w:hAnsi="Tahoma" w:cs="Tahoma"/>
      <w:sz w:val="16"/>
      <w:szCs w:val="16"/>
    </w:rPr>
  </w:style>
  <w:style w:type="character" w:customStyle="1" w:styleId="BalloonTextChar">
    <w:name w:val="Balloon Text Char"/>
    <w:basedOn w:val="DefaultParagraphFont"/>
    <w:link w:val="BalloonText"/>
    <w:uiPriority w:val="99"/>
    <w:semiHidden/>
    <w:rsid w:val="00867C19"/>
    <w:rPr>
      <w:rFonts w:ascii="Tahoma" w:eastAsia="Times New Roman" w:hAnsi="Tahoma" w:cs="Tahoma"/>
      <w:sz w:val="16"/>
      <w:szCs w:val="16"/>
    </w:rPr>
  </w:style>
  <w:style w:type="character" w:customStyle="1" w:styleId="apple-converted-space">
    <w:name w:val="apple-converted-space"/>
    <w:basedOn w:val="DefaultParagraphFont"/>
    <w:rsid w:val="00CC490A"/>
  </w:style>
  <w:style w:type="paragraph" w:styleId="EndnoteText">
    <w:name w:val="endnote text"/>
    <w:basedOn w:val="Normal"/>
    <w:link w:val="EndnoteTextChar"/>
    <w:uiPriority w:val="99"/>
    <w:semiHidden/>
    <w:unhideWhenUsed/>
    <w:rsid w:val="00892F4B"/>
    <w:rPr>
      <w:sz w:val="20"/>
      <w:szCs w:val="20"/>
    </w:rPr>
  </w:style>
  <w:style w:type="character" w:customStyle="1" w:styleId="EndnoteTextChar">
    <w:name w:val="Endnote Text Char"/>
    <w:basedOn w:val="DefaultParagraphFont"/>
    <w:link w:val="EndnoteText"/>
    <w:uiPriority w:val="99"/>
    <w:semiHidden/>
    <w:rsid w:val="00892F4B"/>
    <w:rPr>
      <w:rFonts w:eastAsia="Times New Roman"/>
      <w:sz w:val="20"/>
      <w:szCs w:val="20"/>
    </w:rPr>
  </w:style>
  <w:style w:type="character" w:styleId="EndnoteReference">
    <w:name w:val="endnote reference"/>
    <w:basedOn w:val="DefaultParagraphFont"/>
    <w:uiPriority w:val="99"/>
    <w:semiHidden/>
    <w:unhideWhenUsed/>
    <w:rsid w:val="00892F4B"/>
    <w:rPr>
      <w:vertAlign w:val="superscript"/>
    </w:rPr>
  </w:style>
  <w:style w:type="paragraph" w:styleId="Bibliography">
    <w:name w:val="Bibliography"/>
    <w:basedOn w:val="Normal"/>
    <w:next w:val="Normal"/>
    <w:uiPriority w:val="37"/>
    <w:unhideWhenUsed/>
    <w:rsid w:val="0003755B"/>
    <w:pPr>
      <w:spacing w:line="480" w:lineRule="auto"/>
      <w:ind w:left="720" w:hanging="720"/>
    </w:pPr>
  </w:style>
  <w:style w:type="character" w:styleId="CommentReference">
    <w:name w:val="annotation reference"/>
    <w:basedOn w:val="DefaultParagraphFont"/>
    <w:uiPriority w:val="99"/>
    <w:semiHidden/>
    <w:unhideWhenUsed/>
    <w:rsid w:val="00B732CD"/>
    <w:rPr>
      <w:sz w:val="16"/>
      <w:szCs w:val="16"/>
    </w:rPr>
  </w:style>
  <w:style w:type="paragraph" w:styleId="CommentText">
    <w:name w:val="annotation text"/>
    <w:basedOn w:val="Normal"/>
    <w:link w:val="CommentTextChar"/>
    <w:uiPriority w:val="99"/>
    <w:semiHidden/>
    <w:unhideWhenUsed/>
    <w:rsid w:val="00B732CD"/>
    <w:rPr>
      <w:sz w:val="20"/>
      <w:szCs w:val="20"/>
    </w:rPr>
  </w:style>
  <w:style w:type="character" w:customStyle="1" w:styleId="CommentTextChar">
    <w:name w:val="Comment Text Char"/>
    <w:basedOn w:val="DefaultParagraphFont"/>
    <w:link w:val="CommentText"/>
    <w:uiPriority w:val="99"/>
    <w:semiHidden/>
    <w:rsid w:val="00B732C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732CD"/>
    <w:rPr>
      <w:b/>
      <w:bCs/>
    </w:rPr>
  </w:style>
  <w:style w:type="character" w:customStyle="1" w:styleId="CommentSubjectChar">
    <w:name w:val="Comment Subject Char"/>
    <w:basedOn w:val="CommentTextChar"/>
    <w:link w:val="CommentSubject"/>
    <w:uiPriority w:val="99"/>
    <w:semiHidden/>
    <w:rsid w:val="00B732CD"/>
    <w:rPr>
      <w:rFonts w:eastAsia="Times New Roman"/>
      <w:b/>
      <w:bCs/>
      <w:sz w:val="20"/>
      <w:szCs w:val="20"/>
    </w:rPr>
  </w:style>
  <w:style w:type="paragraph" w:styleId="NormalWeb">
    <w:name w:val="Normal (Web)"/>
    <w:basedOn w:val="Normal"/>
    <w:uiPriority w:val="99"/>
    <w:semiHidden/>
    <w:unhideWhenUsed/>
    <w:rsid w:val="00140531"/>
    <w:pPr>
      <w:spacing w:before="100" w:beforeAutospacing="1" w:after="100" w:afterAutospacing="1"/>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2629">
      <w:bodyDiv w:val="1"/>
      <w:marLeft w:val="0"/>
      <w:marRight w:val="0"/>
      <w:marTop w:val="0"/>
      <w:marBottom w:val="0"/>
      <w:divBdr>
        <w:top w:val="none" w:sz="0" w:space="0" w:color="auto"/>
        <w:left w:val="none" w:sz="0" w:space="0" w:color="auto"/>
        <w:bottom w:val="none" w:sz="0" w:space="0" w:color="auto"/>
        <w:right w:val="none" w:sz="0" w:space="0" w:color="auto"/>
      </w:divBdr>
    </w:div>
    <w:div w:id="1314944038">
      <w:bodyDiv w:val="1"/>
      <w:marLeft w:val="0"/>
      <w:marRight w:val="0"/>
      <w:marTop w:val="0"/>
      <w:marBottom w:val="0"/>
      <w:divBdr>
        <w:top w:val="none" w:sz="0" w:space="0" w:color="auto"/>
        <w:left w:val="none" w:sz="0" w:space="0" w:color="auto"/>
        <w:bottom w:val="none" w:sz="0" w:space="0" w:color="auto"/>
        <w:right w:val="none" w:sz="0" w:space="0" w:color="auto"/>
      </w:divBdr>
    </w:div>
    <w:div w:id="15480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ra.ca" TargetMode="External"/><Relationship Id="rId1" Type="http://schemas.openxmlformats.org/officeDocument/2006/relationships/hyperlink" Target="mailto:gregory.mason@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7E42-E24B-4544-B0F7-A5A993FA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12208</Words>
  <Characters>69592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Mason</dc:creator>
  <cp:lastModifiedBy>Gregory Mason</cp:lastModifiedBy>
  <cp:revision>2</cp:revision>
  <cp:lastPrinted>2015-05-29T15:10:00Z</cp:lastPrinted>
  <dcterms:created xsi:type="dcterms:W3CDTF">2016-10-27T17:44:00Z</dcterms:created>
  <dcterms:modified xsi:type="dcterms:W3CDTF">2016-10-27T17:44:00Z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id="dRDPBuwj"/&gt;&lt;style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