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97" w:rsidRPr="005F0497" w:rsidRDefault="005F0497" w:rsidP="005F0497">
      <w:pPr>
        <w:jc w:val="center"/>
        <w:rPr>
          <w:b/>
        </w:rPr>
      </w:pPr>
      <w:bookmarkStart w:id="0" w:name="_Toc302565034"/>
      <w:bookmarkStart w:id="1" w:name="_GoBack"/>
      <w:r>
        <w:rPr>
          <w:b/>
        </w:rPr>
        <w:t xml:space="preserve">Health information technology as an intervention </w:t>
      </w:r>
      <w:r w:rsidRPr="005F0497">
        <w:rPr>
          <w:b/>
        </w:rPr>
        <w:t xml:space="preserve"> </w:t>
      </w:r>
    </w:p>
    <w:p w:rsidR="00CC3D1B" w:rsidRPr="00AE25FE" w:rsidRDefault="00CC3D1B" w:rsidP="00111F31">
      <w:pPr>
        <w:jc w:val="center"/>
        <w:rPr>
          <w:rStyle w:val="SubtleEmphasis"/>
          <w:rFonts w:ascii="Garamond" w:hAnsi="Garamond"/>
          <w:i w:val="0"/>
          <w:iCs w:val="0"/>
          <w:color w:val="auto"/>
        </w:rPr>
      </w:pPr>
    </w:p>
    <w:bookmarkEnd w:id="1"/>
    <w:p w:rsidR="00CC3D1B" w:rsidRPr="00AE25FE" w:rsidRDefault="00CC3D1B" w:rsidP="00111F31">
      <w:pPr>
        <w:jc w:val="center"/>
        <w:rPr>
          <w:rStyle w:val="SubtleEmphasis"/>
          <w:rFonts w:ascii="Garamond" w:hAnsi="Garamond"/>
          <w:i w:val="0"/>
          <w:iCs w:val="0"/>
          <w:color w:val="auto"/>
        </w:rPr>
      </w:pPr>
      <w:r w:rsidRPr="00AE25FE">
        <w:rPr>
          <w:rStyle w:val="SubtleEmphasis"/>
          <w:rFonts w:ascii="Garamond" w:hAnsi="Garamond"/>
          <w:i w:val="0"/>
          <w:iCs w:val="0"/>
          <w:color w:val="auto"/>
        </w:rPr>
        <w:t>Greg Mason,</w:t>
      </w:r>
      <w:r w:rsidRPr="00AE25FE">
        <w:rPr>
          <w:rStyle w:val="FootnoteReference"/>
          <w:rFonts w:ascii="Garamond" w:hAnsi="Garamond"/>
        </w:rPr>
        <w:footnoteReference w:id="1"/>
      </w:r>
      <w:r w:rsidRPr="00AE25FE">
        <w:rPr>
          <w:rStyle w:val="SubtleEmphasis"/>
          <w:rFonts w:ascii="Garamond" w:hAnsi="Garamond"/>
          <w:i w:val="0"/>
          <w:iCs w:val="0"/>
          <w:color w:val="auto"/>
        </w:rPr>
        <w:t xml:space="preserve"> Andrew Buchel,</w:t>
      </w:r>
      <w:r w:rsidRPr="00AE25FE">
        <w:rPr>
          <w:rStyle w:val="FootnoteReference"/>
          <w:rFonts w:ascii="Garamond" w:hAnsi="Garamond"/>
        </w:rPr>
        <w:footnoteReference w:id="2"/>
      </w:r>
      <w:r w:rsidRPr="00AE25FE">
        <w:rPr>
          <w:rStyle w:val="SubtleEmphasis"/>
          <w:rFonts w:ascii="Garamond" w:hAnsi="Garamond"/>
          <w:i w:val="0"/>
          <w:iCs w:val="0"/>
          <w:color w:val="auto"/>
        </w:rPr>
        <w:t xml:space="preserve"> Mark Lenton,</w:t>
      </w:r>
      <w:r w:rsidRPr="00AE25FE">
        <w:rPr>
          <w:rStyle w:val="FootnoteReference"/>
          <w:rFonts w:ascii="Garamond" w:hAnsi="Garamond"/>
        </w:rPr>
        <w:footnoteReference w:id="3"/>
      </w:r>
      <w:r w:rsidRPr="00AE25FE">
        <w:rPr>
          <w:rStyle w:val="SubtleEmphasis"/>
          <w:rFonts w:ascii="Garamond" w:hAnsi="Garamond"/>
          <w:i w:val="0"/>
          <w:iCs w:val="0"/>
          <w:color w:val="auto"/>
        </w:rPr>
        <w:t xml:space="preserve"> Frances Lau</w:t>
      </w:r>
      <w:r w:rsidRPr="00AE25FE">
        <w:rPr>
          <w:rStyle w:val="FootnoteReference"/>
          <w:rFonts w:ascii="Garamond" w:hAnsi="Garamond"/>
        </w:rPr>
        <w:footnoteReference w:id="4"/>
      </w:r>
      <w:r w:rsidRPr="00AE25FE">
        <w:rPr>
          <w:rStyle w:val="SubtleEmphasis"/>
          <w:rFonts w:ascii="Garamond" w:hAnsi="Garamond"/>
          <w:i w:val="0"/>
          <w:iCs w:val="0"/>
          <w:color w:val="auto"/>
        </w:rPr>
        <w:t>, Morgan Price,</w:t>
      </w:r>
      <w:r w:rsidRPr="00AE25FE">
        <w:rPr>
          <w:rStyle w:val="FootnoteReference"/>
          <w:rFonts w:ascii="Garamond" w:hAnsi="Garamond"/>
        </w:rPr>
        <w:footnoteReference w:id="5"/>
      </w:r>
      <w:r w:rsidRPr="00AE25FE">
        <w:rPr>
          <w:rStyle w:val="SubtleEmphasis"/>
          <w:rFonts w:ascii="Garamond" w:hAnsi="Garamond"/>
          <w:i w:val="0"/>
          <w:iCs w:val="0"/>
          <w:color w:val="auto"/>
        </w:rPr>
        <w:t xml:space="preserve"> Alan Katz</w:t>
      </w:r>
      <w:r w:rsidRPr="00AE25FE">
        <w:rPr>
          <w:rStyle w:val="FootnoteReference"/>
          <w:rFonts w:ascii="Garamond" w:hAnsi="Garamond"/>
        </w:rPr>
        <w:footnoteReference w:id="6"/>
      </w:r>
      <w:r w:rsidRPr="00AE25FE">
        <w:rPr>
          <w:rStyle w:val="SubtleEmphasis"/>
          <w:rFonts w:ascii="Garamond" w:hAnsi="Garamond"/>
          <w:i w:val="0"/>
          <w:iCs w:val="0"/>
          <w:color w:val="auto"/>
        </w:rPr>
        <w:t xml:space="preserve">, Karim </w:t>
      </w:r>
      <w:proofErr w:type="spellStart"/>
      <w:r w:rsidRPr="00AE25FE">
        <w:rPr>
          <w:rStyle w:val="SubtleEmphasis"/>
          <w:rFonts w:ascii="Garamond" w:hAnsi="Garamond"/>
          <w:i w:val="0"/>
          <w:iCs w:val="0"/>
          <w:color w:val="auto"/>
        </w:rPr>
        <w:t>Keshavjee</w:t>
      </w:r>
      <w:proofErr w:type="spellEnd"/>
      <w:r w:rsidRPr="00AE25FE">
        <w:rPr>
          <w:rStyle w:val="FootnoteReference"/>
          <w:rFonts w:ascii="Garamond" w:hAnsi="Garamond"/>
        </w:rPr>
        <w:footnoteReference w:id="7"/>
      </w:r>
      <w:r w:rsidRPr="00AE25FE">
        <w:rPr>
          <w:rStyle w:val="SubtleEmphasis"/>
          <w:rFonts w:ascii="Garamond" w:hAnsi="Garamond"/>
          <w:i w:val="0"/>
          <w:iCs w:val="0"/>
          <w:color w:val="auto"/>
        </w:rPr>
        <w:t xml:space="preserve">, </w:t>
      </w:r>
      <w:proofErr w:type="spellStart"/>
      <w:r w:rsidRPr="00AE25FE">
        <w:rPr>
          <w:rStyle w:val="SubtleEmphasis"/>
          <w:rFonts w:ascii="Garamond" w:hAnsi="Garamond"/>
          <w:i w:val="0"/>
          <w:iCs w:val="0"/>
          <w:color w:val="auto"/>
        </w:rPr>
        <w:t>Liisa</w:t>
      </w:r>
      <w:proofErr w:type="spellEnd"/>
      <w:r w:rsidRPr="00AE25FE">
        <w:rPr>
          <w:rStyle w:val="SubtleEmphasis"/>
          <w:rFonts w:ascii="Garamond" w:hAnsi="Garamond"/>
          <w:i w:val="0"/>
          <w:iCs w:val="0"/>
          <w:color w:val="auto"/>
        </w:rPr>
        <w:t xml:space="preserve"> </w:t>
      </w:r>
      <w:proofErr w:type="spellStart"/>
      <w:r w:rsidRPr="00AE25FE">
        <w:rPr>
          <w:rStyle w:val="SubtleEmphasis"/>
          <w:rFonts w:ascii="Garamond" w:hAnsi="Garamond"/>
          <w:i w:val="0"/>
          <w:iCs w:val="0"/>
          <w:color w:val="auto"/>
        </w:rPr>
        <w:t>Jaakimainen</w:t>
      </w:r>
      <w:proofErr w:type="spellEnd"/>
      <w:r w:rsidRPr="00AE25FE">
        <w:rPr>
          <w:rStyle w:val="FootnoteReference"/>
          <w:rFonts w:ascii="Garamond" w:hAnsi="Garamond"/>
        </w:rPr>
        <w:footnoteReference w:id="8"/>
      </w:r>
      <w:r w:rsidRPr="00AE25FE">
        <w:rPr>
          <w:rStyle w:val="SubtleEmphasis"/>
          <w:rFonts w:ascii="Garamond" w:hAnsi="Garamond"/>
          <w:i w:val="0"/>
          <w:iCs w:val="0"/>
          <w:color w:val="auto"/>
        </w:rPr>
        <w:t xml:space="preserve">, Lisa </w:t>
      </w:r>
      <w:proofErr w:type="spellStart"/>
      <w:r w:rsidRPr="00AE25FE">
        <w:rPr>
          <w:rStyle w:val="SubtleEmphasis"/>
          <w:rFonts w:ascii="Garamond" w:hAnsi="Garamond"/>
          <w:i w:val="0"/>
          <w:iCs w:val="0"/>
          <w:color w:val="auto"/>
        </w:rPr>
        <w:t>Dolovich</w:t>
      </w:r>
      <w:proofErr w:type="spellEnd"/>
      <w:r w:rsidRPr="00AE25FE">
        <w:rPr>
          <w:rStyle w:val="FootnoteReference"/>
          <w:rFonts w:ascii="Garamond" w:hAnsi="Garamond"/>
        </w:rPr>
        <w:footnoteReference w:id="9"/>
      </w:r>
    </w:p>
    <w:p w:rsidR="00CC3D1B" w:rsidRPr="00AE25FE" w:rsidRDefault="00CC3D1B" w:rsidP="00111F31">
      <w:pPr>
        <w:jc w:val="center"/>
        <w:rPr>
          <w:rStyle w:val="SubtleEmphasis"/>
          <w:rFonts w:ascii="Garamond" w:hAnsi="Garamond"/>
          <w:i w:val="0"/>
          <w:iCs w:val="0"/>
          <w:color w:val="auto"/>
        </w:rPr>
      </w:pPr>
    </w:p>
    <w:p w:rsidR="00CC3D1B" w:rsidRPr="00AE25FE" w:rsidRDefault="00CC3D1B" w:rsidP="00111F31">
      <w:pPr>
        <w:jc w:val="center"/>
        <w:rPr>
          <w:rStyle w:val="SubtleEmphasis"/>
          <w:rFonts w:ascii="Garamond" w:hAnsi="Garamond"/>
          <w:i w:val="0"/>
          <w:iCs w:val="0"/>
          <w:color w:val="auto"/>
        </w:rPr>
      </w:pPr>
    </w:p>
    <w:p w:rsidR="00CC3D1B" w:rsidRPr="00AE25FE" w:rsidRDefault="00CC3D1B" w:rsidP="00111F31">
      <w:pPr>
        <w:jc w:val="center"/>
        <w:rPr>
          <w:rStyle w:val="SubtleEmphasis"/>
          <w:rFonts w:ascii="Garamond" w:hAnsi="Garamond"/>
          <w:i w:val="0"/>
          <w:iCs w:val="0"/>
          <w:color w:val="auto"/>
        </w:rPr>
      </w:pPr>
    </w:p>
    <w:p w:rsidR="00CC3D1B" w:rsidRPr="00AE25FE" w:rsidRDefault="00CC3D1B" w:rsidP="00111F31">
      <w:pPr>
        <w:jc w:val="center"/>
        <w:rPr>
          <w:rStyle w:val="SubtleEmphasis"/>
          <w:rFonts w:ascii="Garamond" w:hAnsi="Garamond"/>
          <w:i w:val="0"/>
          <w:iCs w:val="0"/>
          <w:color w:val="auto"/>
        </w:rPr>
      </w:pPr>
    </w:p>
    <w:p w:rsidR="00CC3D1B" w:rsidRPr="00AE25FE" w:rsidRDefault="00CC3D1B" w:rsidP="00111F31">
      <w:pPr>
        <w:rPr>
          <w:rStyle w:val="SubtleEmphasis"/>
          <w:rFonts w:ascii="Garamond" w:hAnsi="Garamond"/>
          <w:b/>
          <w:i w:val="0"/>
          <w:iCs w:val="0"/>
          <w:color w:val="auto"/>
        </w:rPr>
      </w:pPr>
    </w:p>
    <w:p w:rsidR="00CC3D1B" w:rsidRPr="00C45C61" w:rsidRDefault="00CC3D1B" w:rsidP="00C45C61">
      <w:pPr>
        <w:pStyle w:val="Heading1"/>
        <w:numPr>
          <w:ilvl w:val="0"/>
          <w:numId w:val="0"/>
        </w:numPr>
        <w:ind w:left="720" w:hanging="720"/>
        <w:rPr>
          <w:rFonts w:ascii="Garamond" w:hAnsi="Garamond"/>
          <w:sz w:val="32"/>
        </w:rPr>
      </w:pPr>
      <w:r w:rsidRPr="00C45C61">
        <w:rPr>
          <w:rFonts w:ascii="Garamond" w:hAnsi="Garamond"/>
          <w:sz w:val="32"/>
        </w:rPr>
        <w:t xml:space="preserve">Abstract </w:t>
      </w:r>
    </w:p>
    <w:p w:rsidR="00CC3D1B" w:rsidRPr="00AE25FE" w:rsidRDefault="00CC3D1B" w:rsidP="00111F31">
      <w:pPr>
        <w:rPr>
          <w:rStyle w:val="SubtleEmphasis"/>
          <w:rFonts w:ascii="Garamond" w:hAnsi="Garamond"/>
          <w:b/>
          <w:i w:val="0"/>
          <w:iCs w:val="0"/>
          <w:color w:val="auto"/>
        </w:rPr>
      </w:pPr>
    </w:p>
    <w:p w:rsidR="00CC3D1B" w:rsidRPr="00AE25FE" w:rsidRDefault="00F6301E" w:rsidP="00111F31">
      <w:pPr>
        <w:rPr>
          <w:rStyle w:val="SubtleEmphasis"/>
          <w:rFonts w:ascii="Garamond" w:hAnsi="Garamond"/>
          <w:i w:val="0"/>
          <w:iCs w:val="0"/>
          <w:color w:val="auto"/>
        </w:rPr>
      </w:pPr>
      <w:r w:rsidRPr="00AE25FE">
        <w:rPr>
          <w:rStyle w:val="SubtleEmphasis"/>
          <w:rFonts w:ascii="Garamond" w:hAnsi="Garamond"/>
          <w:i w:val="0"/>
          <w:iCs w:val="0"/>
          <w:color w:val="auto"/>
        </w:rPr>
        <w:t>Health information technologies (HIT) comprise an increasing proportion of health expenditures by both public and private payers.</w:t>
      </w:r>
      <w:r w:rsidR="00DC22ED"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 xml:space="preserve"> </w:t>
      </w:r>
      <w:r w:rsidR="00DC22ED" w:rsidRPr="00AE25FE">
        <w:rPr>
          <w:rStyle w:val="SubtleEmphasis"/>
          <w:rFonts w:ascii="Garamond" w:hAnsi="Garamond"/>
          <w:i w:val="0"/>
          <w:iCs w:val="0"/>
          <w:color w:val="auto"/>
        </w:rPr>
        <w:t>Measures of value-for-</w:t>
      </w:r>
      <w:r w:rsidR="00067E4F" w:rsidRPr="00AE25FE">
        <w:rPr>
          <w:rStyle w:val="SubtleEmphasis"/>
          <w:rFonts w:ascii="Garamond" w:hAnsi="Garamond"/>
          <w:i w:val="0"/>
          <w:iCs w:val="0"/>
          <w:color w:val="auto"/>
        </w:rPr>
        <w:t>money arising from HIT investments have</w:t>
      </w:r>
      <w:r w:rsidRPr="00AE25FE">
        <w:rPr>
          <w:rStyle w:val="SubtleEmphasis"/>
          <w:rFonts w:ascii="Garamond" w:hAnsi="Garamond"/>
          <w:i w:val="0"/>
          <w:iCs w:val="0"/>
          <w:color w:val="auto"/>
        </w:rPr>
        <w:t xml:space="preserve"> proved elusive, partly because the conceptual and empirical foundations for measuring HIT implementation</w:t>
      </w:r>
      <w:r w:rsidR="00067E4F" w:rsidRPr="00AE25FE">
        <w:rPr>
          <w:rStyle w:val="SubtleEmphasis"/>
          <w:rFonts w:ascii="Garamond" w:hAnsi="Garamond"/>
          <w:i w:val="0"/>
          <w:iCs w:val="0"/>
          <w:color w:val="auto"/>
        </w:rPr>
        <w:t xml:space="preserve"> require further development.  This paper reviews the concepts of maturity and interoperability, two common dimensions of HIT implementation.  Using the concept of information transactions within a directed graph, these two dimensions em</w:t>
      </w:r>
      <w:r w:rsidR="00507F52" w:rsidRPr="00AE25FE">
        <w:rPr>
          <w:rStyle w:val="SubtleEmphasis"/>
          <w:rFonts w:ascii="Garamond" w:hAnsi="Garamond"/>
          <w:i w:val="0"/>
          <w:iCs w:val="0"/>
          <w:color w:val="auto"/>
        </w:rPr>
        <w:t>erge as equivalent expressions o</w:t>
      </w:r>
      <w:r w:rsidR="00067E4F" w:rsidRPr="00AE25FE">
        <w:rPr>
          <w:rStyle w:val="SubtleEmphasis"/>
          <w:rFonts w:ascii="Garamond" w:hAnsi="Garamond"/>
          <w:i w:val="0"/>
          <w:iCs w:val="0"/>
          <w:color w:val="auto"/>
        </w:rPr>
        <w:t xml:space="preserve">f HIT implementation.  Further, </w:t>
      </w:r>
      <w:r w:rsidR="00F2012E" w:rsidRPr="00AE25FE">
        <w:rPr>
          <w:rStyle w:val="SubtleEmphasis"/>
          <w:rFonts w:ascii="Garamond" w:hAnsi="Garamond"/>
          <w:i w:val="0"/>
          <w:iCs w:val="0"/>
          <w:color w:val="auto"/>
        </w:rPr>
        <w:t xml:space="preserve">the percentage of </w:t>
      </w:r>
      <w:r w:rsidR="00067E4F" w:rsidRPr="00AE25FE">
        <w:rPr>
          <w:rStyle w:val="SubtleEmphasis"/>
          <w:rFonts w:ascii="Garamond" w:hAnsi="Garamond"/>
          <w:i w:val="0"/>
          <w:iCs w:val="0"/>
          <w:color w:val="auto"/>
        </w:rPr>
        <w:t>electronic</w:t>
      </w:r>
      <w:r w:rsidR="00F2012E" w:rsidRPr="00AE25FE">
        <w:rPr>
          <w:rStyle w:val="SubtleEmphasis"/>
          <w:rFonts w:ascii="Garamond" w:hAnsi="Garamond"/>
          <w:i w:val="0"/>
          <w:iCs w:val="0"/>
          <w:color w:val="auto"/>
        </w:rPr>
        <w:t xml:space="preserve"> to total information transactions offers a straightforward empirical measurement of </w:t>
      </w:r>
      <w:r w:rsidR="00507F52" w:rsidRPr="00AE25FE">
        <w:rPr>
          <w:rStyle w:val="SubtleEmphasis"/>
          <w:rFonts w:ascii="Garamond" w:hAnsi="Garamond"/>
          <w:i w:val="0"/>
          <w:iCs w:val="0"/>
          <w:color w:val="auto"/>
        </w:rPr>
        <w:t xml:space="preserve">degree of </w:t>
      </w:r>
      <w:r w:rsidR="00F2012E" w:rsidRPr="00AE25FE">
        <w:rPr>
          <w:rStyle w:val="SubtleEmphasis"/>
          <w:rFonts w:ascii="Garamond" w:hAnsi="Garamond"/>
          <w:i w:val="0"/>
          <w:iCs w:val="0"/>
          <w:color w:val="auto"/>
        </w:rPr>
        <w:t xml:space="preserve">HIT implementation. This supports </w:t>
      </w:r>
      <w:r w:rsidR="00DC22ED" w:rsidRPr="00AE25FE">
        <w:rPr>
          <w:rStyle w:val="SubtleEmphasis"/>
          <w:rFonts w:ascii="Garamond" w:hAnsi="Garamond"/>
          <w:i w:val="0"/>
          <w:iCs w:val="0"/>
          <w:color w:val="auto"/>
        </w:rPr>
        <w:t>value-</w:t>
      </w:r>
      <w:r w:rsidR="00507F52" w:rsidRPr="00AE25FE">
        <w:rPr>
          <w:rStyle w:val="SubtleEmphasis"/>
          <w:rFonts w:ascii="Garamond" w:hAnsi="Garamond"/>
          <w:i w:val="0"/>
          <w:iCs w:val="0"/>
          <w:color w:val="auto"/>
        </w:rPr>
        <w:t>for</w:t>
      </w:r>
      <w:r w:rsidR="00DC22ED" w:rsidRPr="00AE25FE">
        <w:rPr>
          <w:rStyle w:val="SubtleEmphasis"/>
          <w:rFonts w:ascii="Garamond" w:hAnsi="Garamond"/>
          <w:i w:val="0"/>
          <w:iCs w:val="0"/>
          <w:color w:val="auto"/>
        </w:rPr>
        <w:t>-</w:t>
      </w:r>
      <w:r w:rsidR="00507F52" w:rsidRPr="00AE25FE">
        <w:rPr>
          <w:rStyle w:val="SubtleEmphasis"/>
          <w:rFonts w:ascii="Garamond" w:hAnsi="Garamond"/>
          <w:i w:val="0"/>
          <w:iCs w:val="0"/>
          <w:color w:val="auto"/>
        </w:rPr>
        <w:t>money assessment of HIT</w:t>
      </w:r>
      <w:r w:rsidR="00F2012E" w:rsidRPr="00AE25FE">
        <w:rPr>
          <w:rStyle w:val="SubtleEmphasis"/>
          <w:rFonts w:ascii="Garamond" w:hAnsi="Garamond"/>
          <w:i w:val="0"/>
          <w:iCs w:val="0"/>
          <w:color w:val="auto"/>
        </w:rPr>
        <w:t xml:space="preserve"> benefits </w:t>
      </w:r>
      <w:r w:rsidR="00507F52" w:rsidRPr="00AE25FE">
        <w:rPr>
          <w:rStyle w:val="SubtleEmphasis"/>
          <w:rFonts w:ascii="Garamond" w:hAnsi="Garamond"/>
          <w:i w:val="0"/>
          <w:iCs w:val="0"/>
          <w:color w:val="auto"/>
        </w:rPr>
        <w:t xml:space="preserve">as </w:t>
      </w:r>
      <w:r w:rsidR="00F2012E" w:rsidRPr="00AE25FE">
        <w:rPr>
          <w:rStyle w:val="SubtleEmphasis"/>
          <w:rFonts w:ascii="Garamond" w:hAnsi="Garamond"/>
          <w:i w:val="0"/>
          <w:iCs w:val="0"/>
          <w:color w:val="auto"/>
        </w:rPr>
        <w:t>a function of degree of HIT implementation</w:t>
      </w:r>
      <w:r w:rsidR="00C510AC" w:rsidRPr="00AE25FE">
        <w:rPr>
          <w:rStyle w:val="SubtleEmphasis"/>
          <w:rFonts w:ascii="Garamond" w:hAnsi="Garamond"/>
          <w:i w:val="0"/>
          <w:iCs w:val="0"/>
          <w:color w:val="auto"/>
        </w:rPr>
        <w:t>.</w:t>
      </w:r>
      <w:r w:rsidR="00F2012E" w:rsidRPr="00AE25FE">
        <w:rPr>
          <w:rStyle w:val="SubtleEmphasis"/>
          <w:rFonts w:ascii="Garamond" w:hAnsi="Garamond"/>
          <w:i w:val="0"/>
          <w:iCs w:val="0"/>
          <w:color w:val="auto"/>
        </w:rPr>
        <w:t xml:space="preserve"> </w:t>
      </w:r>
    </w:p>
    <w:p w:rsidR="00CC3D1B" w:rsidRPr="00AE25FE" w:rsidRDefault="00CC3D1B">
      <w:pPr>
        <w:spacing w:after="200" w:line="276" w:lineRule="auto"/>
        <w:rPr>
          <w:rStyle w:val="SubtleEmphasis"/>
          <w:rFonts w:ascii="Garamond" w:hAnsi="Garamond"/>
          <w:i w:val="0"/>
          <w:iCs w:val="0"/>
          <w:color w:val="auto"/>
        </w:rPr>
      </w:pPr>
      <w:r w:rsidRPr="00AE25FE">
        <w:rPr>
          <w:rStyle w:val="SubtleEmphasis"/>
          <w:rFonts w:ascii="Garamond" w:hAnsi="Garamond"/>
          <w:i w:val="0"/>
          <w:iCs w:val="0"/>
          <w:color w:val="auto"/>
        </w:rPr>
        <w:br w:type="page"/>
      </w:r>
    </w:p>
    <w:p w:rsidR="00CC3D1B" w:rsidRPr="00C45C61" w:rsidRDefault="00C6454D" w:rsidP="00454E08">
      <w:pPr>
        <w:pStyle w:val="Heading1"/>
        <w:numPr>
          <w:ilvl w:val="0"/>
          <w:numId w:val="0"/>
        </w:numPr>
        <w:ind w:left="720" w:hanging="720"/>
        <w:rPr>
          <w:rFonts w:ascii="Garamond" w:hAnsi="Garamond"/>
          <w:sz w:val="28"/>
        </w:rPr>
      </w:pPr>
      <w:bookmarkStart w:id="2" w:name="_Toc323718552"/>
      <w:r w:rsidRPr="00C45C61">
        <w:rPr>
          <w:rFonts w:ascii="Garamond" w:hAnsi="Garamond"/>
          <w:sz w:val="28"/>
        </w:rPr>
        <w:lastRenderedPageBreak/>
        <w:t>Health information technology: questions of value persist</w:t>
      </w:r>
      <w:bookmarkEnd w:id="2"/>
    </w:p>
    <w:p w:rsidR="00CC3D1B" w:rsidRPr="00AE25FE" w:rsidRDefault="00CC3D1B" w:rsidP="00202B85">
      <w:pPr>
        <w:rPr>
          <w:rFonts w:ascii="Garamond" w:hAnsi="Garamond"/>
        </w:rPr>
      </w:pPr>
    </w:p>
    <w:p w:rsidR="00F2012E" w:rsidRPr="00AE25FE" w:rsidRDefault="00CC3D1B" w:rsidP="00384089">
      <w:pPr>
        <w:autoSpaceDE w:val="0"/>
        <w:autoSpaceDN w:val="0"/>
        <w:adjustRightInd w:val="0"/>
        <w:rPr>
          <w:rStyle w:val="SubtleEmphasis"/>
          <w:rFonts w:ascii="Garamond" w:hAnsi="Garamond"/>
          <w:i w:val="0"/>
          <w:iCs w:val="0"/>
          <w:color w:val="auto"/>
        </w:rPr>
      </w:pPr>
      <w:r w:rsidRPr="00AE25FE">
        <w:rPr>
          <w:rStyle w:val="SubtleEmphasis"/>
          <w:rFonts w:ascii="Garamond" w:hAnsi="Garamond"/>
          <w:i w:val="0"/>
          <w:iCs w:val="0"/>
          <w:color w:val="auto"/>
        </w:rPr>
        <w:t>The literature on the measurement of the benefits arising from the investment in health IT has focussed on the immediate benefits for the provider, typically the physician.</w:t>
      </w:r>
      <w:r w:rsidR="002B1D9A" w:rsidRPr="00AE25FE">
        <w:rPr>
          <w:rStyle w:val="FootnoteReference"/>
          <w:rFonts w:ascii="Garamond" w:hAnsi="Garamond"/>
        </w:rPr>
        <w:t xml:space="preserve"> </w:t>
      </w:r>
      <w:r w:rsidR="002B1D9A" w:rsidRPr="00AE25FE">
        <w:rPr>
          <w:rStyle w:val="FootnoteReference"/>
          <w:rFonts w:ascii="Garamond" w:hAnsi="Garamond"/>
        </w:rPr>
        <w:footnoteReference w:id="10"/>
      </w:r>
      <w:r w:rsidRPr="00AE25FE">
        <w:rPr>
          <w:rStyle w:val="SubtleEmphasis"/>
          <w:rFonts w:ascii="Garamond" w:hAnsi="Garamond"/>
          <w:i w:val="0"/>
          <w:iCs w:val="0"/>
          <w:color w:val="auto"/>
        </w:rPr>
        <w:t xml:space="preserve"> However, measure</w:t>
      </w:r>
      <w:r w:rsidR="00384089" w:rsidRPr="00AE25FE">
        <w:rPr>
          <w:rStyle w:val="SubtleEmphasis"/>
          <w:rFonts w:ascii="Garamond" w:hAnsi="Garamond"/>
          <w:i w:val="0"/>
          <w:iCs w:val="0"/>
          <w:color w:val="auto"/>
        </w:rPr>
        <w:t>ment</w:t>
      </w:r>
      <w:r w:rsidRPr="00AE25FE">
        <w:rPr>
          <w:rStyle w:val="SubtleEmphasis"/>
          <w:rFonts w:ascii="Garamond" w:hAnsi="Garamond"/>
          <w:i w:val="0"/>
          <w:iCs w:val="0"/>
          <w:color w:val="auto"/>
        </w:rPr>
        <w:t>s of health system benefit and value</w:t>
      </w:r>
      <w:r w:rsidR="00384089" w:rsidRPr="00AE25FE">
        <w:rPr>
          <w:rStyle w:val="SubtleEmphasis"/>
          <w:rFonts w:ascii="Garamond" w:hAnsi="Garamond"/>
          <w:i w:val="0"/>
          <w:iCs w:val="0"/>
          <w:color w:val="auto"/>
        </w:rPr>
        <w:t>-</w:t>
      </w:r>
      <w:r w:rsidRPr="00AE25FE">
        <w:rPr>
          <w:rStyle w:val="SubtleEmphasis"/>
          <w:rFonts w:ascii="Garamond" w:hAnsi="Garamond"/>
          <w:i w:val="0"/>
          <w:iCs w:val="0"/>
          <w:color w:val="auto"/>
        </w:rPr>
        <w:t>for</w:t>
      </w:r>
      <w:r w:rsidR="00384089"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money to payers (government and insurers) still rely on simplistic projections of the value of time savings </w:t>
      </w:r>
      <w:r w:rsidR="00507F52" w:rsidRPr="00AE25FE">
        <w:rPr>
          <w:rStyle w:val="SubtleEmphasis"/>
          <w:rFonts w:ascii="Garamond" w:hAnsi="Garamond"/>
          <w:i w:val="0"/>
          <w:iCs w:val="0"/>
          <w:color w:val="auto"/>
        </w:rPr>
        <w:t xml:space="preserve">and other immediate outcomes </w:t>
      </w:r>
      <w:r w:rsidRPr="00AE25FE">
        <w:rPr>
          <w:rStyle w:val="SubtleEmphasis"/>
          <w:rFonts w:ascii="Garamond" w:hAnsi="Garamond"/>
          <w:i w:val="0"/>
          <w:iCs w:val="0"/>
          <w:color w:val="auto"/>
        </w:rPr>
        <w:t xml:space="preserve">produced by </w:t>
      </w:r>
      <w:r w:rsidR="00507F52" w:rsidRPr="00AE25FE">
        <w:rPr>
          <w:rStyle w:val="SubtleEmphasis"/>
          <w:rFonts w:ascii="Garamond" w:hAnsi="Garamond"/>
          <w:i w:val="0"/>
          <w:iCs w:val="0"/>
          <w:color w:val="auto"/>
        </w:rPr>
        <w:t>specific features of HIT</w:t>
      </w:r>
      <w:r w:rsidRPr="00AE25FE">
        <w:rPr>
          <w:rStyle w:val="SubtleEmphasis"/>
          <w:rFonts w:ascii="Garamond" w:hAnsi="Garamond"/>
          <w:i w:val="0"/>
          <w:iCs w:val="0"/>
          <w:color w:val="auto"/>
        </w:rPr>
        <w:t xml:space="preserve">.  There seem to be few measures of more general health benefits, such as increases in quality of life, reduction in the direct costs of service provision, or mitigation of pain and suffering.  Two explanations exist for this.  First, </w:t>
      </w:r>
      <w:r w:rsidR="002B1D9A" w:rsidRPr="00AE25FE">
        <w:rPr>
          <w:rStyle w:val="SubtleEmphasis"/>
          <w:rFonts w:ascii="Garamond" w:hAnsi="Garamond"/>
          <w:i w:val="0"/>
          <w:iCs w:val="0"/>
          <w:color w:val="auto"/>
        </w:rPr>
        <w:t>HIT</w:t>
      </w:r>
      <w:r w:rsidR="00945735" w:rsidRPr="00AE25FE">
        <w:rPr>
          <w:rStyle w:val="SubtleEmphasis"/>
          <w:rFonts w:ascii="Garamond" w:hAnsi="Garamond"/>
          <w:i w:val="0"/>
          <w:iCs w:val="0"/>
          <w:color w:val="auto"/>
        </w:rPr>
        <w:t xml:space="preserve"> is not usually framed </w:t>
      </w:r>
      <w:r w:rsidR="00384089" w:rsidRPr="00AE25FE">
        <w:rPr>
          <w:rStyle w:val="SubtleEmphasis"/>
          <w:rFonts w:ascii="Garamond" w:hAnsi="Garamond"/>
          <w:i w:val="0"/>
          <w:iCs w:val="0"/>
          <w:color w:val="auto"/>
        </w:rPr>
        <w:t xml:space="preserve">as </w:t>
      </w:r>
      <w:r w:rsidRPr="00AE25FE">
        <w:rPr>
          <w:rStyle w:val="SubtleEmphasis"/>
          <w:rFonts w:ascii="Garamond" w:hAnsi="Garamond"/>
          <w:i w:val="0"/>
          <w:iCs w:val="0"/>
          <w:color w:val="auto"/>
        </w:rPr>
        <w:t>an</w:t>
      </w:r>
      <w:r w:rsidRPr="00AE25FE">
        <w:rPr>
          <w:rStyle w:val="SubtleEmphasis"/>
          <w:rFonts w:ascii="Garamond" w:hAnsi="Garamond"/>
          <w:iCs w:val="0"/>
          <w:color w:val="auto"/>
        </w:rPr>
        <w:t xml:space="preserve"> intervention</w:t>
      </w:r>
      <w:r w:rsidRPr="00AE25FE">
        <w:rPr>
          <w:rStyle w:val="SubtleEmphasis"/>
          <w:rFonts w:ascii="Garamond" w:hAnsi="Garamond"/>
          <w:i w:val="0"/>
          <w:iCs w:val="0"/>
          <w:color w:val="auto"/>
        </w:rPr>
        <w:t xml:space="preserve"> per se.  This impedes implementation of evaluations based on comparison groups and other inferential mechanisms.  Second, no general framework for evaluating </w:t>
      </w:r>
      <w:r w:rsidR="00C6454D" w:rsidRPr="00AE25FE">
        <w:rPr>
          <w:rStyle w:val="SubtleEmphasis"/>
          <w:rFonts w:ascii="Garamond" w:hAnsi="Garamond"/>
          <w:i w:val="0"/>
          <w:iCs w:val="0"/>
          <w:color w:val="auto"/>
        </w:rPr>
        <w:t xml:space="preserve">the link between </w:t>
      </w:r>
      <w:r w:rsidR="00945735" w:rsidRPr="00AE25FE">
        <w:rPr>
          <w:rStyle w:val="SubtleEmphasis"/>
          <w:rFonts w:ascii="Garamond" w:hAnsi="Garamond"/>
          <w:i w:val="0"/>
          <w:iCs w:val="0"/>
          <w:color w:val="auto"/>
        </w:rPr>
        <w:t>HIT i</w:t>
      </w:r>
      <w:r w:rsidRPr="00AE25FE">
        <w:rPr>
          <w:rStyle w:val="SubtleEmphasis"/>
          <w:rFonts w:ascii="Garamond" w:hAnsi="Garamond"/>
          <w:i w:val="0"/>
          <w:iCs w:val="0"/>
          <w:color w:val="auto"/>
        </w:rPr>
        <w:t xml:space="preserve">mplementation </w:t>
      </w:r>
      <w:r w:rsidR="00C6454D" w:rsidRPr="00AE25FE">
        <w:rPr>
          <w:rStyle w:val="SubtleEmphasis"/>
          <w:rFonts w:ascii="Garamond" w:hAnsi="Garamond"/>
          <w:i w:val="0"/>
          <w:iCs w:val="0"/>
          <w:color w:val="auto"/>
        </w:rPr>
        <w:t xml:space="preserve">and outcomes appears </w:t>
      </w:r>
      <w:r w:rsidRPr="00AE25FE">
        <w:rPr>
          <w:rStyle w:val="SubtleEmphasis"/>
          <w:rFonts w:ascii="Garamond" w:hAnsi="Garamond"/>
          <w:i w:val="0"/>
          <w:iCs w:val="0"/>
          <w:color w:val="auto"/>
        </w:rPr>
        <w:t>to exist, with the result that the assessment of this major innovation remains fragmentary.</w:t>
      </w:r>
    </w:p>
    <w:p w:rsidR="00F2012E" w:rsidRPr="00AE25FE" w:rsidRDefault="00F2012E" w:rsidP="001944EF">
      <w:pPr>
        <w:autoSpaceDE w:val="0"/>
        <w:autoSpaceDN w:val="0"/>
        <w:adjustRightInd w:val="0"/>
        <w:rPr>
          <w:rStyle w:val="SubtleEmphasis"/>
          <w:rFonts w:ascii="Garamond" w:hAnsi="Garamond"/>
          <w:i w:val="0"/>
          <w:iCs w:val="0"/>
          <w:color w:val="auto"/>
        </w:rPr>
      </w:pPr>
    </w:p>
    <w:p w:rsidR="00450846" w:rsidRPr="00AE25FE" w:rsidRDefault="00CC3D1B" w:rsidP="00F2012E">
      <w:pPr>
        <w:autoSpaceDE w:val="0"/>
        <w:autoSpaceDN w:val="0"/>
        <w:adjustRightInd w:val="0"/>
        <w:rPr>
          <w:rStyle w:val="SubtleEmphasis"/>
          <w:rFonts w:ascii="Garamond" w:hAnsi="Garamond"/>
          <w:i w:val="0"/>
          <w:iCs w:val="0"/>
          <w:color w:val="auto"/>
        </w:rPr>
      </w:pPr>
      <w:r w:rsidRPr="00AE25FE">
        <w:rPr>
          <w:rStyle w:val="SubtleEmphasis"/>
          <w:rFonts w:ascii="Garamond" w:hAnsi="Garamond"/>
          <w:i w:val="0"/>
          <w:iCs w:val="0"/>
          <w:color w:val="auto"/>
        </w:rPr>
        <w:t>This paper address</w:t>
      </w:r>
      <w:r w:rsidR="00C6454D" w:rsidRPr="00AE25FE">
        <w:rPr>
          <w:rStyle w:val="SubtleEmphasis"/>
          <w:rFonts w:ascii="Garamond" w:hAnsi="Garamond"/>
          <w:i w:val="0"/>
          <w:iCs w:val="0"/>
          <w:color w:val="auto"/>
        </w:rPr>
        <w:t>es</w:t>
      </w:r>
      <w:r w:rsidRPr="00AE25FE">
        <w:rPr>
          <w:rStyle w:val="SubtleEmphasis"/>
          <w:rFonts w:ascii="Garamond" w:hAnsi="Garamond"/>
          <w:i w:val="0"/>
          <w:iCs w:val="0"/>
          <w:color w:val="auto"/>
        </w:rPr>
        <w:t xml:space="preserve"> the first deficiency by proposing a direct method for</w:t>
      </w:r>
      <w:r w:rsidR="00C6454D" w:rsidRPr="00AE25FE">
        <w:rPr>
          <w:rStyle w:val="SubtleEmphasis"/>
          <w:rFonts w:ascii="Garamond" w:hAnsi="Garamond"/>
          <w:i w:val="0"/>
          <w:iCs w:val="0"/>
          <w:color w:val="auto"/>
        </w:rPr>
        <w:t xml:space="preserve"> conceptualizing </w:t>
      </w:r>
      <w:r w:rsidR="00454E08" w:rsidRPr="00AE25FE">
        <w:rPr>
          <w:rStyle w:val="SubtleEmphasis"/>
          <w:rFonts w:ascii="Garamond" w:hAnsi="Garamond"/>
          <w:i w:val="0"/>
          <w:iCs w:val="0"/>
          <w:color w:val="auto"/>
        </w:rPr>
        <w:t>and measuring</w:t>
      </w:r>
      <w:r w:rsidRPr="00AE25FE">
        <w:rPr>
          <w:rStyle w:val="SubtleEmphasis"/>
          <w:rFonts w:ascii="Garamond" w:hAnsi="Garamond"/>
          <w:i w:val="0"/>
          <w:iCs w:val="0"/>
          <w:color w:val="auto"/>
        </w:rPr>
        <w:t xml:space="preserve"> the implementation of </w:t>
      </w:r>
      <w:r w:rsidR="00450846" w:rsidRPr="00AE25FE">
        <w:rPr>
          <w:rStyle w:val="SubtleEmphasis"/>
          <w:rFonts w:ascii="Garamond" w:hAnsi="Garamond"/>
          <w:i w:val="0"/>
          <w:iCs w:val="0"/>
          <w:color w:val="auto"/>
        </w:rPr>
        <w:t xml:space="preserve">HIT </w:t>
      </w:r>
      <w:r w:rsidRPr="00AE25FE">
        <w:rPr>
          <w:rStyle w:val="SubtleEmphasis"/>
          <w:rFonts w:ascii="Garamond" w:hAnsi="Garamond"/>
          <w:i w:val="0"/>
          <w:iCs w:val="0"/>
          <w:color w:val="auto"/>
        </w:rPr>
        <w:t xml:space="preserve">within a “jurisdiction” </w:t>
      </w:r>
      <w:r w:rsidR="00F2012E" w:rsidRPr="00AE25FE">
        <w:rPr>
          <w:rFonts w:ascii="Garamond" w:hAnsi="Garamond"/>
        </w:rPr>
        <w:t xml:space="preserve">by examining </w:t>
      </w:r>
      <w:r w:rsidR="00F2012E" w:rsidRPr="00AE25FE">
        <w:rPr>
          <w:rStyle w:val="SubtleEmphasis"/>
          <w:rFonts w:ascii="Garamond" w:hAnsi="Garamond"/>
          <w:i w:val="0"/>
          <w:iCs w:val="0"/>
          <w:color w:val="auto"/>
        </w:rPr>
        <w:t>t</w:t>
      </w:r>
      <w:r w:rsidR="002B1D9A" w:rsidRPr="00AE25FE">
        <w:rPr>
          <w:rStyle w:val="SubtleEmphasis"/>
          <w:rFonts w:ascii="Garamond" w:hAnsi="Garamond"/>
          <w:i w:val="0"/>
          <w:iCs w:val="0"/>
          <w:color w:val="auto"/>
        </w:rPr>
        <w:t xml:space="preserve">wo core </w:t>
      </w:r>
      <w:r w:rsidRPr="00AE25FE">
        <w:rPr>
          <w:rStyle w:val="SubtleEmphasis"/>
          <w:rFonts w:ascii="Garamond" w:hAnsi="Garamond"/>
          <w:i w:val="0"/>
          <w:iCs w:val="0"/>
          <w:color w:val="auto"/>
        </w:rPr>
        <w:t xml:space="preserve">concepts </w:t>
      </w:r>
      <w:r w:rsidR="00AF1423" w:rsidRPr="00AE25FE">
        <w:rPr>
          <w:rStyle w:val="SubtleEmphasis"/>
          <w:rFonts w:ascii="Garamond" w:hAnsi="Garamond"/>
          <w:i w:val="0"/>
          <w:iCs w:val="0"/>
          <w:color w:val="auto"/>
        </w:rPr>
        <w:t>—</w:t>
      </w:r>
      <w:r w:rsidR="002B1D9A"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 xml:space="preserve">maturity and interoperability.  This paper </w:t>
      </w:r>
      <w:r w:rsidR="002B1D9A" w:rsidRPr="00AE25FE">
        <w:rPr>
          <w:rStyle w:val="SubtleEmphasis"/>
          <w:rFonts w:ascii="Garamond" w:hAnsi="Garamond"/>
          <w:i w:val="0"/>
          <w:iCs w:val="0"/>
          <w:color w:val="auto"/>
        </w:rPr>
        <w:t xml:space="preserve">shows </w:t>
      </w:r>
      <w:r w:rsidRPr="00AE25FE">
        <w:rPr>
          <w:rStyle w:val="SubtleEmphasis"/>
          <w:rFonts w:ascii="Garamond" w:hAnsi="Garamond"/>
          <w:i w:val="0"/>
          <w:iCs w:val="0"/>
          <w:color w:val="auto"/>
        </w:rPr>
        <w:t>how</w:t>
      </w:r>
      <w:r w:rsidR="008422E6" w:rsidRPr="00AE25FE">
        <w:rPr>
          <w:rStyle w:val="SubtleEmphasis"/>
          <w:rFonts w:ascii="Garamond" w:hAnsi="Garamond"/>
          <w:i w:val="0"/>
          <w:iCs w:val="0"/>
          <w:color w:val="auto"/>
        </w:rPr>
        <w:t xml:space="preserve"> both </w:t>
      </w:r>
      <w:r w:rsidRPr="00AE25FE">
        <w:rPr>
          <w:rStyle w:val="SubtleEmphasis"/>
          <w:rFonts w:ascii="Garamond" w:hAnsi="Garamond"/>
          <w:i w:val="0"/>
          <w:iCs w:val="0"/>
          <w:color w:val="auto"/>
        </w:rPr>
        <w:t xml:space="preserve">concepts </w:t>
      </w:r>
      <w:r w:rsidR="008422E6" w:rsidRPr="00AE25FE">
        <w:rPr>
          <w:rStyle w:val="SubtleEmphasis"/>
          <w:rFonts w:ascii="Garamond" w:hAnsi="Garamond"/>
          <w:i w:val="0"/>
          <w:iCs w:val="0"/>
          <w:color w:val="auto"/>
        </w:rPr>
        <w:t xml:space="preserve">may </w:t>
      </w:r>
      <w:r w:rsidR="002B1D9A" w:rsidRPr="00AE25FE">
        <w:rPr>
          <w:rStyle w:val="SubtleEmphasis"/>
          <w:rFonts w:ascii="Garamond" w:hAnsi="Garamond"/>
          <w:i w:val="0"/>
          <w:iCs w:val="0"/>
          <w:color w:val="auto"/>
        </w:rPr>
        <w:t xml:space="preserve">be characterized as information flows and that this characterization becomes the basis </w:t>
      </w:r>
      <w:r w:rsidR="00945735" w:rsidRPr="00AE25FE">
        <w:rPr>
          <w:rStyle w:val="SubtleEmphasis"/>
          <w:rFonts w:ascii="Garamond" w:hAnsi="Garamond"/>
          <w:i w:val="0"/>
          <w:iCs w:val="0"/>
          <w:color w:val="auto"/>
        </w:rPr>
        <w:t xml:space="preserve">for </w:t>
      </w:r>
      <w:r w:rsidR="002B1D9A" w:rsidRPr="00AE25FE">
        <w:rPr>
          <w:rStyle w:val="SubtleEmphasis"/>
          <w:rFonts w:ascii="Garamond" w:hAnsi="Garamond"/>
          <w:i w:val="0"/>
          <w:iCs w:val="0"/>
          <w:color w:val="auto"/>
        </w:rPr>
        <w:t>supporting benefit assessment</w:t>
      </w:r>
      <w:r w:rsidR="00F2012E" w:rsidRPr="00AE25FE">
        <w:rPr>
          <w:rStyle w:val="SubtleEmphasis"/>
          <w:rFonts w:ascii="Garamond" w:hAnsi="Garamond"/>
          <w:i w:val="0"/>
          <w:iCs w:val="0"/>
          <w:color w:val="auto"/>
        </w:rPr>
        <w:t xml:space="preserve">.  </w:t>
      </w:r>
      <w:r w:rsidR="00C647B5" w:rsidRPr="00AE25FE">
        <w:rPr>
          <w:rStyle w:val="SubtleEmphasis"/>
          <w:rFonts w:ascii="Garamond" w:hAnsi="Garamond"/>
          <w:i w:val="0"/>
          <w:iCs w:val="0"/>
          <w:color w:val="auto"/>
        </w:rPr>
        <w:t>The goal is to create an operational measure of HIT implementation that serves as an independent variable i</w:t>
      </w:r>
      <w:r w:rsidR="00AF1423" w:rsidRPr="00AE25FE">
        <w:rPr>
          <w:rStyle w:val="SubtleEmphasis"/>
          <w:rFonts w:ascii="Garamond" w:hAnsi="Garamond"/>
          <w:i w:val="0"/>
          <w:iCs w:val="0"/>
          <w:color w:val="auto"/>
        </w:rPr>
        <w:t>n the assessment of value-for-</w:t>
      </w:r>
      <w:r w:rsidR="00C647B5" w:rsidRPr="00AE25FE">
        <w:rPr>
          <w:rStyle w:val="SubtleEmphasis"/>
          <w:rFonts w:ascii="Garamond" w:hAnsi="Garamond"/>
          <w:i w:val="0"/>
          <w:iCs w:val="0"/>
          <w:color w:val="auto"/>
        </w:rPr>
        <w:t>money arising from investments in eHealth.</w:t>
      </w:r>
    </w:p>
    <w:p w:rsidR="00CC3D1B" w:rsidRPr="00AE25FE" w:rsidRDefault="00CC3D1B" w:rsidP="00111F31">
      <w:pPr>
        <w:rPr>
          <w:rStyle w:val="SubtleEmphasis"/>
          <w:rFonts w:ascii="Garamond" w:hAnsi="Garamond"/>
          <w:i w:val="0"/>
          <w:iCs w:val="0"/>
          <w:color w:val="auto"/>
        </w:rPr>
      </w:pPr>
    </w:p>
    <w:p w:rsidR="00C647B5" w:rsidRPr="00AE25FE" w:rsidRDefault="00C647B5" w:rsidP="00C45C61">
      <w:pPr>
        <w:ind w:firstLine="720"/>
        <w:rPr>
          <w:rStyle w:val="SubtleEmphasis"/>
          <w:rFonts w:ascii="Garamond" w:hAnsi="Garamond"/>
          <w:b/>
          <w:i w:val="0"/>
          <w:iCs w:val="0"/>
          <w:color w:val="auto"/>
        </w:rPr>
      </w:pPr>
      <w:r w:rsidRPr="00AE25FE">
        <w:rPr>
          <w:rStyle w:val="SubtleEmphasis"/>
          <w:rFonts w:ascii="Garamond" w:hAnsi="Garamond"/>
          <w:b/>
          <w:i w:val="0"/>
          <w:iCs w:val="0"/>
          <w:color w:val="auto"/>
        </w:rPr>
        <w:t>Maturity and interoperability – the first step in measuring HIT value</w:t>
      </w:r>
    </w:p>
    <w:p w:rsidR="00C647B5" w:rsidRPr="00AE25FE" w:rsidRDefault="00C647B5" w:rsidP="00111F31">
      <w:pPr>
        <w:rPr>
          <w:rStyle w:val="SubtleEmphasis"/>
          <w:rFonts w:ascii="Garamond" w:hAnsi="Garamond"/>
          <w:i w:val="0"/>
          <w:iCs w:val="0"/>
          <w:color w:val="auto"/>
        </w:rPr>
      </w:pPr>
    </w:p>
    <w:p w:rsidR="00CC3D1B" w:rsidRPr="00AE25FE" w:rsidRDefault="00CC3D1B" w:rsidP="00FF2BB8">
      <w:pPr>
        <w:rPr>
          <w:rStyle w:val="SubtleEmphasis"/>
          <w:rFonts w:ascii="Garamond" w:hAnsi="Garamond"/>
          <w:i w:val="0"/>
          <w:iCs w:val="0"/>
          <w:color w:val="auto"/>
        </w:rPr>
      </w:pPr>
      <w:r w:rsidRPr="00AE25FE">
        <w:rPr>
          <w:rStyle w:val="SubtleEmphasis"/>
          <w:rFonts w:ascii="Garamond" w:hAnsi="Garamond"/>
          <w:iCs w:val="0"/>
          <w:color w:val="auto"/>
        </w:rPr>
        <w:t xml:space="preserve">Maturity </w:t>
      </w:r>
      <w:r w:rsidRPr="00AE25FE">
        <w:rPr>
          <w:rStyle w:val="SubtleEmphasis"/>
          <w:rFonts w:ascii="Garamond" w:hAnsi="Garamond"/>
          <w:i w:val="0"/>
          <w:iCs w:val="0"/>
          <w:color w:val="auto"/>
        </w:rPr>
        <w:t>has been defined in many ways, including operational ideas about what organizations can do with improved information (Sharma, 2008), measures of adoption of certain types</w:t>
      </w:r>
      <w:r w:rsidR="00AF1423" w:rsidRPr="00AE25FE">
        <w:rPr>
          <w:rStyle w:val="SubtleEmphasis"/>
          <w:rFonts w:ascii="Garamond" w:hAnsi="Garamond"/>
          <w:i w:val="0"/>
          <w:iCs w:val="0"/>
          <w:color w:val="auto"/>
        </w:rPr>
        <w:t xml:space="preserve"> of patient management software</w:t>
      </w:r>
      <w:r w:rsidRPr="00AE25FE">
        <w:rPr>
          <w:rStyle w:val="SubtleEmphasis"/>
          <w:rFonts w:ascii="Garamond" w:hAnsi="Garamond"/>
          <w:i w:val="0"/>
          <w:iCs w:val="0"/>
          <w:color w:val="auto"/>
        </w:rPr>
        <w:t xml:space="preserve"> (</w:t>
      </w:r>
      <w:proofErr w:type="spellStart"/>
      <w:r w:rsidRPr="00AE25FE">
        <w:rPr>
          <w:rStyle w:val="SubtleEmphasis"/>
          <w:rFonts w:ascii="Garamond" w:hAnsi="Garamond"/>
          <w:i w:val="0"/>
          <w:iCs w:val="0"/>
          <w:color w:val="auto"/>
        </w:rPr>
        <w:t>Tamburis</w:t>
      </w:r>
      <w:proofErr w:type="spellEnd"/>
      <w:r w:rsidR="00C510AC" w:rsidRPr="00AE25FE">
        <w:rPr>
          <w:rStyle w:val="SubtleEmphasis"/>
          <w:rFonts w:ascii="Garamond" w:hAnsi="Garamond"/>
          <w:i w:val="0"/>
          <w:iCs w:val="0"/>
          <w:color w:val="auto"/>
        </w:rPr>
        <w:t xml:space="preserve">, </w:t>
      </w:r>
      <w:proofErr w:type="spellStart"/>
      <w:r w:rsidR="00C510AC" w:rsidRPr="00AE25FE">
        <w:rPr>
          <w:rStyle w:val="SubtleEmphasis"/>
          <w:rFonts w:ascii="Garamond" w:hAnsi="Garamond"/>
          <w:i w:val="0"/>
          <w:iCs w:val="0"/>
          <w:color w:val="auto"/>
        </w:rPr>
        <w:t>Mangia</w:t>
      </w:r>
      <w:proofErr w:type="spellEnd"/>
      <w:r w:rsidR="00C510AC" w:rsidRPr="00AE25FE">
        <w:rPr>
          <w:rStyle w:val="SubtleEmphasis"/>
          <w:rFonts w:ascii="Garamond" w:hAnsi="Garamond"/>
          <w:i w:val="0"/>
          <w:iCs w:val="0"/>
          <w:color w:val="auto"/>
        </w:rPr>
        <w:t>, &amp; Rossi</w:t>
      </w:r>
      <w:r w:rsidRPr="00AE25FE">
        <w:rPr>
          <w:rStyle w:val="SubtleEmphasis"/>
          <w:rFonts w:ascii="Garamond" w:hAnsi="Garamond"/>
          <w:i w:val="0"/>
          <w:iCs w:val="0"/>
          <w:color w:val="auto"/>
        </w:rPr>
        <w:t xml:space="preserve"> 2011)</w:t>
      </w:r>
      <w:r w:rsidR="00AF1423"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or in terms of meaningful use (Ontario eHealth 2011).  The concept is simple in principle — maturity refers to the percentage of EMR </w:t>
      </w:r>
      <w:r w:rsidR="002B1D9A" w:rsidRPr="00AE25FE">
        <w:rPr>
          <w:rStyle w:val="SubtleEmphasis"/>
          <w:rFonts w:ascii="Garamond" w:hAnsi="Garamond"/>
          <w:i w:val="0"/>
          <w:iCs w:val="0"/>
          <w:color w:val="auto"/>
        </w:rPr>
        <w:t xml:space="preserve">software </w:t>
      </w:r>
      <w:r w:rsidRPr="00AE25FE">
        <w:rPr>
          <w:rStyle w:val="SubtleEmphasis"/>
          <w:rFonts w:ascii="Garamond" w:hAnsi="Garamond"/>
          <w:i w:val="0"/>
          <w:iCs w:val="0"/>
          <w:color w:val="auto"/>
        </w:rPr>
        <w:t xml:space="preserve">features actively used by the provider team.  However, upon a little reflection, the idea gains dimensionality and complexity based on the extent to which features are present in the software, the extent of adoption by all provider staff, and most importantly, the capacity of all users (health care professionals and patients) to participate in supplying and using information within the provider unit.  </w:t>
      </w:r>
    </w:p>
    <w:p w:rsidR="00CC3D1B" w:rsidRPr="00AE25FE" w:rsidRDefault="00CC3D1B" w:rsidP="00DA47D9">
      <w:pPr>
        <w:pStyle w:val="Bullet"/>
        <w:numPr>
          <w:ilvl w:val="0"/>
          <w:numId w:val="0"/>
        </w:numPr>
        <w:ind w:left="720"/>
        <w:rPr>
          <w:rStyle w:val="SubtleEmphasis"/>
          <w:rFonts w:ascii="Garamond" w:hAnsi="Garamond"/>
          <w:i w:val="0"/>
          <w:iCs w:val="0"/>
          <w:color w:val="auto"/>
        </w:rPr>
      </w:pPr>
    </w:p>
    <w:p w:rsidR="00CC3D1B" w:rsidRPr="00AE25FE" w:rsidRDefault="00CC3D1B" w:rsidP="00FF2BB8">
      <w:pPr>
        <w:rPr>
          <w:rStyle w:val="SubtleEmphasis"/>
          <w:rFonts w:ascii="Garamond" w:hAnsi="Garamond"/>
          <w:i w:val="0"/>
          <w:iCs w:val="0"/>
          <w:color w:val="auto"/>
        </w:rPr>
      </w:pPr>
      <w:r w:rsidRPr="00AE25FE">
        <w:rPr>
          <w:rStyle w:val="SubtleEmphasis"/>
          <w:rFonts w:ascii="Garamond" w:hAnsi="Garamond"/>
          <w:iCs w:val="0"/>
          <w:color w:val="auto"/>
        </w:rPr>
        <w:t>Interoperability</w:t>
      </w:r>
      <w:r w:rsidRPr="00AE25FE">
        <w:rPr>
          <w:rStyle w:val="SubtleEmphasis"/>
          <w:rFonts w:ascii="Garamond" w:hAnsi="Garamond"/>
          <w:i w:val="0"/>
          <w:iCs w:val="0"/>
          <w:color w:val="auto"/>
        </w:rPr>
        <w:t xml:space="preserve"> </w:t>
      </w:r>
      <w:r w:rsidR="00450846" w:rsidRPr="00AE25FE">
        <w:rPr>
          <w:rStyle w:val="SubtleEmphasis"/>
          <w:rFonts w:ascii="Garamond" w:hAnsi="Garamond"/>
          <w:i w:val="0"/>
          <w:iCs w:val="0"/>
          <w:color w:val="auto"/>
        </w:rPr>
        <w:t>is a general feature of IT</w:t>
      </w:r>
      <w:r w:rsidR="00AF1423" w:rsidRPr="00AE25FE">
        <w:rPr>
          <w:rStyle w:val="SubtleEmphasis"/>
          <w:rFonts w:ascii="Garamond" w:hAnsi="Garamond"/>
          <w:i w:val="0"/>
          <w:iCs w:val="0"/>
          <w:color w:val="auto"/>
        </w:rPr>
        <w:t>. I</w:t>
      </w:r>
      <w:r w:rsidR="00450846" w:rsidRPr="00AE25FE">
        <w:rPr>
          <w:rStyle w:val="SubtleEmphasis"/>
          <w:rFonts w:ascii="Garamond" w:hAnsi="Garamond"/>
          <w:i w:val="0"/>
          <w:iCs w:val="0"/>
          <w:color w:val="auto"/>
        </w:rPr>
        <w:t>n a network</w:t>
      </w:r>
      <w:r w:rsidR="00AF1423" w:rsidRPr="00AE25FE">
        <w:rPr>
          <w:rStyle w:val="SubtleEmphasis"/>
          <w:rFonts w:ascii="Garamond" w:hAnsi="Garamond"/>
          <w:i w:val="0"/>
          <w:iCs w:val="0"/>
          <w:color w:val="auto"/>
        </w:rPr>
        <w:t>, it</w:t>
      </w:r>
      <w:r w:rsidR="00450846"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 xml:space="preserve">refers to the capacity and existence of diverse elements (health provider nodes) of the health care system to exchange and act upon shared information.  </w:t>
      </w:r>
      <w:r w:rsidR="00450846" w:rsidRPr="00AE25FE">
        <w:rPr>
          <w:rStyle w:val="SubtleEmphasis"/>
          <w:rFonts w:ascii="Garamond" w:hAnsi="Garamond"/>
          <w:i w:val="0"/>
          <w:iCs w:val="0"/>
          <w:color w:val="auto"/>
        </w:rPr>
        <w:t xml:space="preserve">Typical definitions and usages appear in </w:t>
      </w:r>
      <w:r w:rsidR="00CC4BF9" w:rsidRPr="00AE25FE">
        <w:rPr>
          <w:rFonts w:ascii="Garamond" w:hAnsi="Garamond"/>
          <w:color w:val="131413"/>
        </w:rPr>
        <w:t>Weber-</w:t>
      </w:r>
      <w:proofErr w:type="spellStart"/>
      <w:r w:rsidR="00CC4BF9" w:rsidRPr="00AE25FE">
        <w:rPr>
          <w:rFonts w:ascii="Garamond" w:hAnsi="Garamond"/>
          <w:color w:val="131413"/>
        </w:rPr>
        <w:t>Jahnke</w:t>
      </w:r>
      <w:proofErr w:type="spellEnd"/>
      <w:r w:rsidR="00CC4BF9" w:rsidRPr="00AE25FE">
        <w:rPr>
          <w:rFonts w:ascii="Garamond" w:hAnsi="Garamond"/>
          <w:color w:val="131413"/>
        </w:rPr>
        <w:t xml:space="preserve">, Peyton, and </w:t>
      </w:r>
      <w:proofErr w:type="spellStart"/>
      <w:r w:rsidR="00CC4BF9" w:rsidRPr="00AE25FE">
        <w:rPr>
          <w:rFonts w:ascii="Garamond" w:hAnsi="Garamond"/>
          <w:color w:val="131413"/>
        </w:rPr>
        <w:t>Topaloglou</w:t>
      </w:r>
      <w:proofErr w:type="spellEnd"/>
      <w:r w:rsidR="00CC4BF9" w:rsidRPr="00AE25FE">
        <w:rPr>
          <w:rFonts w:ascii="Garamond" w:hAnsi="Garamond"/>
          <w:color w:val="131413"/>
        </w:rPr>
        <w:t xml:space="preserve"> (2012);</w:t>
      </w:r>
      <w:r w:rsidR="00FF2BB8" w:rsidRPr="00AE25FE">
        <w:rPr>
          <w:rFonts w:ascii="Garamond" w:hAnsi="Garamond"/>
          <w:color w:val="131413"/>
        </w:rPr>
        <w:t xml:space="preserve"> </w:t>
      </w:r>
      <w:proofErr w:type="spellStart"/>
      <w:proofErr w:type="gramStart"/>
      <w:r w:rsidR="00FF2BB8" w:rsidRPr="00AE25FE">
        <w:rPr>
          <w:rFonts w:ascii="Garamond" w:hAnsi="Garamond"/>
        </w:rPr>
        <w:t>Kuperman</w:t>
      </w:r>
      <w:proofErr w:type="spellEnd"/>
      <w:r w:rsidR="00FF2BB8" w:rsidRPr="00AE25FE">
        <w:rPr>
          <w:rFonts w:ascii="Garamond" w:hAnsi="Garamond"/>
        </w:rPr>
        <w:t xml:space="preserve">  (</w:t>
      </w:r>
      <w:proofErr w:type="gramEnd"/>
      <w:r w:rsidR="00FF2BB8" w:rsidRPr="00AE25FE">
        <w:rPr>
          <w:rFonts w:ascii="Garamond" w:hAnsi="Garamond"/>
        </w:rPr>
        <w:t>2011)</w:t>
      </w:r>
      <w:r w:rsidR="00CC4BF9" w:rsidRPr="00AE25FE">
        <w:rPr>
          <w:rFonts w:ascii="Garamond" w:hAnsi="Garamond"/>
        </w:rPr>
        <w:t>;</w:t>
      </w:r>
      <w:r w:rsidR="00FF2BB8" w:rsidRPr="00AE25FE">
        <w:rPr>
          <w:rFonts w:ascii="Garamond" w:hAnsi="Garamond"/>
        </w:rPr>
        <w:t xml:space="preserve"> and </w:t>
      </w:r>
      <w:proofErr w:type="spellStart"/>
      <w:r w:rsidR="00FF2BB8" w:rsidRPr="00AE25FE">
        <w:rPr>
          <w:rFonts w:ascii="Garamond" w:hAnsi="Garamond"/>
          <w:bCs/>
          <w:iCs/>
        </w:rPr>
        <w:t>Atalag</w:t>
      </w:r>
      <w:proofErr w:type="spellEnd"/>
      <w:r w:rsidR="00CC4BF9" w:rsidRPr="00AE25FE">
        <w:rPr>
          <w:rFonts w:ascii="Garamond" w:hAnsi="Garamond"/>
        </w:rPr>
        <w:t>, Kingsford, Paton, and Warren</w:t>
      </w:r>
      <w:r w:rsidR="00FF2BB8" w:rsidRPr="00AE25FE">
        <w:rPr>
          <w:rStyle w:val="SubtleEmphasis"/>
          <w:rFonts w:ascii="Garamond" w:hAnsi="Garamond"/>
          <w:i w:val="0"/>
          <w:iCs w:val="0"/>
          <w:color w:val="auto"/>
        </w:rPr>
        <w:t xml:space="preserve"> (2010). A</w:t>
      </w:r>
      <w:r w:rsidRPr="00AE25FE">
        <w:rPr>
          <w:rStyle w:val="SubtleEmphasis"/>
          <w:rFonts w:ascii="Garamond" w:hAnsi="Garamond"/>
          <w:i w:val="0"/>
          <w:iCs w:val="0"/>
          <w:color w:val="auto"/>
        </w:rPr>
        <w:t xml:space="preserve"> </w:t>
      </w:r>
      <w:r w:rsidR="00FF2BB8" w:rsidRPr="00AE25FE">
        <w:rPr>
          <w:rStyle w:val="SubtleEmphasis"/>
          <w:rFonts w:ascii="Garamond" w:hAnsi="Garamond"/>
          <w:i w:val="0"/>
          <w:iCs w:val="0"/>
          <w:color w:val="auto"/>
        </w:rPr>
        <w:t xml:space="preserve">health provider node </w:t>
      </w:r>
      <w:r w:rsidRPr="00AE25FE">
        <w:rPr>
          <w:rStyle w:val="SubtleEmphasis"/>
          <w:rFonts w:ascii="Garamond" w:hAnsi="Garamond"/>
          <w:i w:val="0"/>
          <w:iCs w:val="0"/>
          <w:color w:val="auto"/>
        </w:rPr>
        <w:t xml:space="preserve">may be a clinic, diagnostic unit, laboratory, or </w:t>
      </w:r>
      <w:r w:rsidRPr="00AE25FE">
        <w:rPr>
          <w:rFonts w:ascii="Garamond" w:hAnsi="Garamond"/>
        </w:rPr>
        <w:t>hospital. Intuitively, interoperability is a function of the “density” of interconnection among health provider nodes.</w:t>
      </w:r>
    </w:p>
    <w:p w:rsidR="00C647B5" w:rsidRPr="00AE25FE" w:rsidRDefault="00C647B5" w:rsidP="00FF2BB8">
      <w:pPr>
        <w:rPr>
          <w:rStyle w:val="SubtleEmphasis"/>
          <w:rFonts w:ascii="Garamond" w:hAnsi="Garamond"/>
          <w:i w:val="0"/>
          <w:iCs w:val="0"/>
          <w:color w:val="auto"/>
        </w:rPr>
      </w:pPr>
    </w:p>
    <w:p w:rsidR="00C647B5" w:rsidRPr="00AE25FE" w:rsidRDefault="00C647B5" w:rsidP="00FF2BB8">
      <w:pPr>
        <w:rPr>
          <w:rStyle w:val="SubtleEmphasis"/>
          <w:rFonts w:ascii="Garamond" w:hAnsi="Garamond"/>
          <w:i w:val="0"/>
          <w:iCs w:val="0"/>
          <w:color w:val="auto"/>
        </w:rPr>
      </w:pPr>
      <w:r w:rsidRPr="00AE25FE">
        <w:rPr>
          <w:rStyle w:val="SubtleEmphasis"/>
          <w:rFonts w:ascii="Garamond" w:hAnsi="Garamond"/>
          <w:i w:val="0"/>
          <w:iCs w:val="0"/>
          <w:color w:val="auto"/>
        </w:rPr>
        <w:t>Together</w:t>
      </w:r>
      <w:r w:rsidR="00CD029C"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these two concepts appear to be two unrelated aspects of HIT implementation.  In fact, each rests on the same platform of information transactions, which in turn becomes the process for measuring HIT as an intervention.</w:t>
      </w:r>
    </w:p>
    <w:p w:rsidR="00C45C61" w:rsidRDefault="00C45C61">
      <w:pPr>
        <w:rPr>
          <w:rStyle w:val="SubtleEmphasis"/>
          <w:rFonts w:ascii="Garamond" w:hAnsi="Garamond"/>
          <w:b/>
          <w:bCs/>
          <w:i w:val="0"/>
          <w:iCs w:val="0"/>
          <w:color w:val="auto"/>
          <w:sz w:val="28"/>
        </w:rPr>
      </w:pPr>
      <w:bookmarkStart w:id="3" w:name="_Toc323718553"/>
      <w:bookmarkEnd w:id="0"/>
      <w:r>
        <w:rPr>
          <w:rStyle w:val="SubtleEmphasis"/>
          <w:rFonts w:ascii="Garamond" w:hAnsi="Garamond"/>
          <w:b/>
          <w:bCs/>
          <w:i w:val="0"/>
          <w:iCs w:val="0"/>
          <w:color w:val="auto"/>
          <w:sz w:val="28"/>
        </w:rPr>
        <w:br w:type="page"/>
      </w:r>
    </w:p>
    <w:p w:rsidR="00504B64" w:rsidRPr="00AE25FE" w:rsidRDefault="002B1D9A" w:rsidP="00180A71">
      <w:pPr>
        <w:pStyle w:val="Bullet"/>
        <w:numPr>
          <w:ilvl w:val="0"/>
          <w:numId w:val="0"/>
        </w:numPr>
        <w:rPr>
          <w:rStyle w:val="SubtleEmphasis"/>
          <w:rFonts w:ascii="Garamond" w:hAnsi="Garamond"/>
          <w:b/>
          <w:i w:val="0"/>
          <w:iCs w:val="0"/>
          <w:color w:val="auto"/>
          <w:sz w:val="28"/>
        </w:rPr>
      </w:pPr>
      <w:r w:rsidRPr="00AE25FE">
        <w:rPr>
          <w:rStyle w:val="SubtleEmphasis"/>
          <w:rFonts w:ascii="Garamond" w:hAnsi="Garamond"/>
          <w:b/>
          <w:bCs/>
          <w:i w:val="0"/>
          <w:iCs w:val="0"/>
          <w:color w:val="auto"/>
          <w:sz w:val="28"/>
        </w:rPr>
        <w:lastRenderedPageBreak/>
        <w:t xml:space="preserve">HIT </w:t>
      </w:r>
      <w:r w:rsidR="00CC3D1B" w:rsidRPr="00AE25FE">
        <w:rPr>
          <w:rStyle w:val="SubtleEmphasis"/>
          <w:rFonts w:ascii="Garamond" w:hAnsi="Garamond"/>
          <w:b/>
          <w:i w:val="0"/>
          <w:iCs w:val="0"/>
          <w:color w:val="auto"/>
          <w:sz w:val="28"/>
        </w:rPr>
        <w:t>maturity</w:t>
      </w:r>
      <w:bookmarkEnd w:id="3"/>
      <w:r w:rsidR="00FF2BB8" w:rsidRPr="00AE25FE">
        <w:rPr>
          <w:rStyle w:val="SubtleEmphasis"/>
          <w:rFonts w:ascii="Garamond" w:hAnsi="Garamond"/>
          <w:b/>
          <w:i w:val="0"/>
          <w:iCs w:val="0"/>
          <w:color w:val="auto"/>
          <w:sz w:val="28"/>
        </w:rPr>
        <w:t xml:space="preserve"> – concept and measurement</w:t>
      </w:r>
    </w:p>
    <w:p w:rsidR="00CC3D1B" w:rsidRPr="00AE25FE" w:rsidRDefault="00CC3D1B" w:rsidP="00742D88">
      <w:pPr>
        <w:rPr>
          <w:rFonts w:ascii="Garamond" w:hAnsi="Garamond"/>
        </w:rPr>
      </w:pPr>
    </w:p>
    <w:p w:rsidR="00CC3D1B" w:rsidRPr="00AE25FE" w:rsidRDefault="00CC3D1B" w:rsidP="00823DE3">
      <w:pPr>
        <w:ind w:right="-180"/>
        <w:rPr>
          <w:rFonts w:ascii="Garamond" w:hAnsi="Garamond"/>
        </w:rPr>
      </w:pPr>
      <w:r w:rsidRPr="00AE25FE">
        <w:rPr>
          <w:rStyle w:val="SubtleEmphasis"/>
          <w:rFonts w:ascii="Garamond" w:hAnsi="Garamond"/>
          <w:i w:val="0"/>
          <w:iCs w:val="0"/>
          <w:color w:val="auto"/>
        </w:rPr>
        <w:t>A maturity model is a device or measurement system that shows the transformation and development of organizational capacity (Rocha, 2012; Earl 1989; Becker</w:t>
      </w:r>
      <w:r w:rsidR="00C33535" w:rsidRPr="00AE25FE">
        <w:rPr>
          <w:rStyle w:val="SubtleEmphasis"/>
          <w:rFonts w:ascii="Garamond" w:hAnsi="Garamond"/>
          <w:i w:val="0"/>
          <w:iCs w:val="0"/>
          <w:color w:val="auto"/>
        </w:rPr>
        <w:t>,</w:t>
      </w:r>
      <w:r w:rsidR="00507F52" w:rsidRPr="00AE25FE">
        <w:rPr>
          <w:rStyle w:val="SubtleEmphasis"/>
          <w:rFonts w:ascii="Garamond" w:hAnsi="Garamond"/>
          <w:i w:val="0"/>
          <w:iCs w:val="0"/>
          <w:color w:val="auto"/>
        </w:rPr>
        <w:t xml:space="preserve"> </w:t>
      </w:r>
      <w:proofErr w:type="spellStart"/>
      <w:r w:rsidR="00C33535" w:rsidRPr="00AE25FE">
        <w:rPr>
          <w:rStyle w:val="SubtleEmphasis"/>
          <w:rFonts w:ascii="Garamond" w:hAnsi="Garamond"/>
          <w:i w:val="0"/>
          <w:iCs w:val="0"/>
          <w:color w:val="auto"/>
        </w:rPr>
        <w:t>K</w:t>
      </w:r>
      <w:r w:rsidRPr="00AE25FE">
        <w:rPr>
          <w:rStyle w:val="SubtleEmphasis"/>
          <w:rFonts w:ascii="Garamond" w:hAnsi="Garamond"/>
          <w:i w:val="0"/>
          <w:iCs w:val="0"/>
          <w:color w:val="auto"/>
        </w:rPr>
        <w:t>nackstedt</w:t>
      </w:r>
      <w:proofErr w:type="spellEnd"/>
      <w:r w:rsidRPr="00AE25FE">
        <w:rPr>
          <w:rStyle w:val="SubtleEmphasis"/>
          <w:rFonts w:ascii="Garamond" w:hAnsi="Garamond"/>
          <w:i w:val="0"/>
          <w:iCs w:val="0"/>
          <w:color w:val="auto"/>
        </w:rPr>
        <w:t xml:space="preserve">, </w:t>
      </w:r>
      <w:r w:rsidR="00507F52" w:rsidRPr="00AE25FE">
        <w:rPr>
          <w:rStyle w:val="SubtleEmphasis"/>
          <w:rFonts w:ascii="Garamond" w:hAnsi="Garamond"/>
          <w:i w:val="0"/>
          <w:iCs w:val="0"/>
          <w:color w:val="auto"/>
        </w:rPr>
        <w:t>&amp;</w:t>
      </w:r>
      <w:r w:rsidRPr="00AE25FE">
        <w:rPr>
          <w:rStyle w:val="SubtleEmphasis"/>
          <w:rFonts w:ascii="Garamond" w:hAnsi="Garamond"/>
          <w:i w:val="0"/>
          <w:iCs w:val="0"/>
          <w:color w:val="auto"/>
        </w:rPr>
        <w:t xml:space="preserve"> </w:t>
      </w:r>
      <w:proofErr w:type="spellStart"/>
      <w:r w:rsidRPr="00AE25FE">
        <w:rPr>
          <w:rFonts w:ascii="Garamond" w:hAnsi="Garamond"/>
        </w:rPr>
        <w:t>Pöppelbuß</w:t>
      </w:r>
      <w:proofErr w:type="spellEnd"/>
      <w:r w:rsidRPr="00AE25FE">
        <w:rPr>
          <w:rStyle w:val="SubtleEmphasis"/>
          <w:rFonts w:ascii="Garamond" w:hAnsi="Garamond"/>
          <w:i w:val="0"/>
          <w:iCs w:val="0"/>
          <w:color w:val="auto"/>
        </w:rPr>
        <w:t>, 2009).  By f</w:t>
      </w:r>
      <w:r w:rsidRPr="00AE25FE">
        <w:rPr>
          <w:rFonts w:ascii="Garamond" w:hAnsi="Garamond"/>
        </w:rPr>
        <w:t xml:space="preserve">ocussing on the electronic medical record implemented by a provider, such as a primary health clinic, this section summarizes the relationship between EMR attributes, benefits, and maturity.  </w:t>
      </w:r>
    </w:p>
    <w:p w:rsidR="00CC3D1B" w:rsidRPr="00AE25FE" w:rsidRDefault="00CC3D1B" w:rsidP="00C233C7">
      <w:pPr>
        <w:rPr>
          <w:rFonts w:ascii="Garamond" w:hAnsi="Garamond"/>
        </w:rPr>
      </w:pPr>
    </w:p>
    <w:p w:rsidR="00CC3D1B" w:rsidRPr="00AE25FE" w:rsidRDefault="00CC3D1B" w:rsidP="00732BF2">
      <w:pPr>
        <w:rPr>
          <w:rStyle w:val="SubtleEmphasis"/>
          <w:rFonts w:ascii="Garamond" w:hAnsi="Garamond"/>
          <w:i w:val="0"/>
          <w:iCs w:val="0"/>
          <w:color w:val="auto"/>
        </w:rPr>
      </w:pPr>
      <w:r w:rsidRPr="00AE25FE">
        <w:rPr>
          <w:rStyle w:val="SubtleEmphasis"/>
          <w:rFonts w:ascii="Garamond" w:hAnsi="Garamond"/>
          <w:i w:val="0"/>
          <w:iCs w:val="0"/>
          <w:color w:val="auto"/>
        </w:rPr>
        <w:t>Most maturity definitions focus on the individual organization or health provider. For example, the HIMSS model charts seven stages of cumulative capacity starting from Stage 0 (no hardware, software, or training implemented) through to Stage 7, where the health care provider uses no paper to share the full spectrum of health data information among the various units within the</w:t>
      </w:r>
      <w:r w:rsidR="00C33535"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 xml:space="preserve">organization. </w:t>
      </w:r>
      <w:proofErr w:type="gramStart"/>
      <w:r w:rsidRPr="00AE25FE">
        <w:rPr>
          <w:rStyle w:val="SubtleEmphasis"/>
          <w:rFonts w:ascii="Garamond" w:hAnsi="Garamond"/>
          <w:i w:val="0"/>
          <w:iCs w:val="0"/>
          <w:color w:val="auto"/>
        </w:rPr>
        <w:t>(HIMSS, 2009).</w:t>
      </w:r>
      <w:proofErr w:type="gramEnd"/>
      <w:r w:rsidRPr="00AE25FE">
        <w:rPr>
          <w:rStyle w:val="SubtleEmphasis"/>
          <w:rFonts w:ascii="Garamond" w:hAnsi="Garamond"/>
          <w:i w:val="0"/>
          <w:iCs w:val="0"/>
          <w:color w:val="auto"/>
        </w:rPr>
        <w:t xml:space="preserve">  </w:t>
      </w:r>
      <w:proofErr w:type="spellStart"/>
      <w:r w:rsidRPr="00AE25FE">
        <w:rPr>
          <w:rStyle w:val="SubtleEmphasis"/>
          <w:rFonts w:ascii="Garamond" w:hAnsi="Garamond"/>
          <w:i w:val="0"/>
          <w:iCs w:val="0"/>
          <w:color w:val="auto"/>
        </w:rPr>
        <w:t>Quintegra</w:t>
      </w:r>
      <w:proofErr w:type="spellEnd"/>
      <w:r w:rsidRPr="00AE25FE">
        <w:rPr>
          <w:rStyle w:val="SubtleEmphasis"/>
          <w:rFonts w:ascii="Garamond" w:hAnsi="Garamond"/>
          <w:i w:val="0"/>
          <w:iCs w:val="0"/>
          <w:color w:val="auto"/>
        </w:rPr>
        <w:t xml:space="preserve"> (Sharma, 2008) proposes a maturity schema that includes all service providers within the jurisdiction. </w:t>
      </w:r>
      <w:r w:rsidR="00C33535"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 xml:space="preserve">For </w:t>
      </w:r>
      <w:proofErr w:type="spellStart"/>
      <w:r w:rsidRPr="00AE25FE">
        <w:rPr>
          <w:rStyle w:val="SubtleEmphasis"/>
          <w:rFonts w:ascii="Garamond" w:hAnsi="Garamond"/>
          <w:i w:val="0"/>
          <w:iCs w:val="0"/>
          <w:color w:val="auto"/>
        </w:rPr>
        <w:t>Quintegra</w:t>
      </w:r>
      <w:proofErr w:type="spellEnd"/>
      <w:r w:rsidRPr="00AE25FE">
        <w:rPr>
          <w:rStyle w:val="SubtleEmphasis"/>
          <w:rFonts w:ascii="Garamond" w:hAnsi="Garamond"/>
          <w:i w:val="0"/>
          <w:iCs w:val="0"/>
          <w:color w:val="auto"/>
        </w:rPr>
        <w:t>, maturity moves from an immature stage (with no implementation at local levels) to a national stage (with full implementation across all "actors" within the health care system).</w:t>
      </w:r>
      <w:r w:rsidRPr="00AE25FE">
        <w:rPr>
          <w:rStyle w:val="FootnoteReference"/>
          <w:rFonts w:ascii="Garamond" w:hAnsi="Garamond"/>
        </w:rPr>
        <w:footnoteReference w:id="11"/>
      </w:r>
      <w:r w:rsidRPr="00AE25FE">
        <w:rPr>
          <w:rStyle w:val="SubtleEmphasis"/>
          <w:rFonts w:ascii="Garamond" w:hAnsi="Garamond"/>
          <w:i w:val="0"/>
          <w:iCs w:val="0"/>
          <w:color w:val="auto"/>
        </w:rPr>
        <w:t xml:space="preserve">  Other maturity measures focus on a hospital setting. For example, </w:t>
      </w:r>
      <w:r w:rsidR="008F0070" w:rsidRPr="00AE25FE">
        <w:rPr>
          <w:rFonts w:ascii="Garamond" w:hAnsi="Garamond"/>
        </w:rPr>
        <w:t xml:space="preserve">Holland, </w:t>
      </w:r>
      <w:proofErr w:type="spellStart"/>
      <w:r w:rsidR="008F0070" w:rsidRPr="00AE25FE">
        <w:rPr>
          <w:rFonts w:ascii="Garamond" w:hAnsi="Garamond"/>
        </w:rPr>
        <w:t>Piai</w:t>
      </w:r>
      <w:proofErr w:type="spellEnd"/>
      <w:r w:rsidR="008F0070" w:rsidRPr="00AE25FE">
        <w:rPr>
          <w:rFonts w:ascii="Garamond" w:hAnsi="Garamond"/>
        </w:rPr>
        <w:t xml:space="preserve">, </w:t>
      </w:r>
      <w:r w:rsidR="00B14B97" w:rsidRPr="00AE25FE">
        <w:rPr>
          <w:rFonts w:ascii="Garamond" w:hAnsi="Garamond"/>
        </w:rPr>
        <w:t xml:space="preserve">and </w:t>
      </w:r>
      <w:proofErr w:type="spellStart"/>
      <w:r w:rsidR="008F0070" w:rsidRPr="00AE25FE">
        <w:rPr>
          <w:rFonts w:ascii="Garamond" w:hAnsi="Garamond"/>
        </w:rPr>
        <w:t>Dunbrack</w:t>
      </w:r>
      <w:proofErr w:type="spellEnd"/>
      <w:r w:rsidRPr="00AE25FE">
        <w:rPr>
          <w:rStyle w:val="SubtleEmphasis"/>
          <w:rFonts w:ascii="Garamond" w:hAnsi="Garamond"/>
          <w:i w:val="0"/>
          <w:iCs w:val="0"/>
          <w:color w:val="auto"/>
        </w:rPr>
        <w:t xml:space="preserve"> </w:t>
      </w:r>
      <w:r w:rsidR="00B14B97" w:rsidRPr="00AE25FE">
        <w:rPr>
          <w:rStyle w:val="SubtleEmphasis"/>
          <w:rFonts w:ascii="Garamond" w:hAnsi="Garamond"/>
          <w:i w:val="0"/>
          <w:iCs w:val="0"/>
          <w:color w:val="auto"/>
        </w:rPr>
        <w:t>(</w:t>
      </w:r>
      <w:r w:rsidRPr="00AE25FE">
        <w:rPr>
          <w:rStyle w:val="SubtleEmphasis"/>
          <w:rFonts w:ascii="Garamond" w:hAnsi="Garamond"/>
          <w:i w:val="0"/>
          <w:iCs w:val="0"/>
          <w:color w:val="auto"/>
        </w:rPr>
        <w:t>2008) develop a model of five stages of maturity, with each stage building on the capacities developed in the prior stage. Yet another model has been developed for the National Health Service (NHS) in the UK, which features six stages of cascading capabilities.</w:t>
      </w:r>
    </w:p>
    <w:p w:rsidR="00CC3D1B" w:rsidRPr="00AE25FE" w:rsidRDefault="00CC3D1B" w:rsidP="00732BF2">
      <w:pPr>
        <w:rPr>
          <w:rStyle w:val="SubtleEmphasis"/>
          <w:rFonts w:ascii="Garamond" w:hAnsi="Garamond"/>
          <w:i w:val="0"/>
          <w:iCs w:val="0"/>
          <w:color w:val="auto"/>
        </w:rPr>
      </w:pPr>
    </w:p>
    <w:p w:rsidR="00CC3D1B" w:rsidRPr="00AE25FE" w:rsidRDefault="00CC3D1B" w:rsidP="00732BF2">
      <w:pPr>
        <w:rPr>
          <w:rStyle w:val="SubtleEmphasis"/>
          <w:rFonts w:ascii="Garamond" w:hAnsi="Garamond"/>
          <w:i w:val="0"/>
          <w:iCs w:val="0"/>
          <w:color w:val="auto"/>
        </w:rPr>
      </w:pPr>
      <w:r w:rsidRPr="00AE25FE">
        <w:rPr>
          <w:rStyle w:val="SubtleEmphasis"/>
          <w:rFonts w:ascii="Garamond" w:hAnsi="Garamond"/>
          <w:i w:val="0"/>
          <w:iCs w:val="0"/>
          <w:color w:val="auto"/>
        </w:rPr>
        <w:t>Finally, a variety of adoption measures have served as a proxy for EMR m</w:t>
      </w:r>
      <w:r w:rsidR="00C510AC" w:rsidRPr="00AE25FE">
        <w:rPr>
          <w:rStyle w:val="SubtleEmphasis"/>
          <w:rFonts w:ascii="Garamond" w:hAnsi="Garamond"/>
          <w:i w:val="0"/>
          <w:iCs w:val="0"/>
          <w:color w:val="auto"/>
        </w:rPr>
        <w:t xml:space="preserve">aturity. For example, </w:t>
      </w:r>
      <w:proofErr w:type="spellStart"/>
      <w:r w:rsidR="00C510AC" w:rsidRPr="00AE25FE">
        <w:rPr>
          <w:rStyle w:val="SubtleEmphasis"/>
          <w:rFonts w:ascii="Garamond" w:hAnsi="Garamond"/>
          <w:i w:val="0"/>
          <w:iCs w:val="0"/>
          <w:color w:val="auto"/>
        </w:rPr>
        <w:t>Keshavjee</w:t>
      </w:r>
      <w:proofErr w:type="spellEnd"/>
      <w:r w:rsidR="00C510AC" w:rsidRPr="00AE25FE">
        <w:rPr>
          <w:rStyle w:val="SubtleEmphasis"/>
          <w:rFonts w:ascii="Garamond" w:hAnsi="Garamond"/>
          <w:i w:val="0"/>
          <w:iCs w:val="0"/>
          <w:color w:val="auto"/>
        </w:rPr>
        <w:t xml:space="preserve">, </w:t>
      </w:r>
      <w:proofErr w:type="spellStart"/>
      <w:r w:rsidR="00C510AC" w:rsidRPr="00AE25FE">
        <w:rPr>
          <w:rStyle w:val="SubtleEmphasis"/>
          <w:rFonts w:ascii="Garamond" w:hAnsi="Garamond"/>
          <w:i w:val="0"/>
          <w:iCs w:val="0"/>
          <w:color w:val="auto"/>
        </w:rPr>
        <w:t>Troyan</w:t>
      </w:r>
      <w:proofErr w:type="spellEnd"/>
      <w:r w:rsidR="00C510AC" w:rsidRPr="00AE25FE">
        <w:rPr>
          <w:rStyle w:val="SubtleEmphasis"/>
          <w:rFonts w:ascii="Garamond" w:hAnsi="Garamond"/>
          <w:i w:val="0"/>
          <w:iCs w:val="0"/>
          <w:color w:val="auto"/>
        </w:rPr>
        <w:t xml:space="preserve">, Holbrook, and </w:t>
      </w:r>
      <w:proofErr w:type="spellStart"/>
      <w:r w:rsidR="00C510AC" w:rsidRPr="00AE25FE">
        <w:rPr>
          <w:rStyle w:val="SubtleEmphasis"/>
          <w:rFonts w:ascii="Garamond" w:hAnsi="Garamond"/>
          <w:i w:val="0"/>
          <w:iCs w:val="0"/>
          <w:color w:val="auto"/>
        </w:rPr>
        <w:t>Vandermolen</w:t>
      </w:r>
      <w:proofErr w:type="spellEnd"/>
      <w:r w:rsidRPr="00AE25FE">
        <w:rPr>
          <w:rStyle w:val="SubtleEmphasis"/>
          <w:rFonts w:ascii="Garamond" w:hAnsi="Garamond"/>
          <w:i w:val="0"/>
          <w:iCs w:val="0"/>
          <w:color w:val="auto"/>
        </w:rPr>
        <w:t xml:space="preserve"> (2003) have developed questionnaire-based measures of adoption to be administered in primary care clinical settings. While adoption is one element of a maturity model, it is not sufficient to measure implementation by whether a clinic has ordered EMR software (or whether it received financial assistance for the acquisition), since the software could still be in its shrink wrap.  Many estimates of the time required between ordering the software and full implementation throughout the provider setting suggest that the time between decision to adopt and competent implementation is a matter of months at a minimum and</w:t>
      </w:r>
      <w:r w:rsidR="00ED263B" w:rsidRPr="00AE25FE">
        <w:rPr>
          <w:rStyle w:val="SubtleEmphasis"/>
          <w:rFonts w:ascii="Garamond" w:hAnsi="Garamond"/>
          <w:i w:val="0"/>
          <w:iCs w:val="0"/>
          <w:color w:val="auto"/>
        </w:rPr>
        <w:t xml:space="preserve"> is usually</w:t>
      </w:r>
      <w:r w:rsidRPr="00AE25FE">
        <w:rPr>
          <w:rStyle w:val="SubtleEmphasis"/>
          <w:rFonts w:ascii="Garamond" w:hAnsi="Garamond"/>
          <w:i w:val="0"/>
          <w:iCs w:val="0"/>
          <w:color w:val="auto"/>
        </w:rPr>
        <w:t xml:space="preserve"> closer to two years. </w:t>
      </w:r>
    </w:p>
    <w:p w:rsidR="00CC3D1B" w:rsidRPr="00AE25FE" w:rsidRDefault="00CC3D1B" w:rsidP="00C233C7">
      <w:pPr>
        <w:rPr>
          <w:rFonts w:ascii="Garamond" w:hAnsi="Garamond"/>
        </w:rPr>
      </w:pPr>
    </w:p>
    <w:p w:rsidR="00CC3D1B" w:rsidRPr="00AE25FE" w:rsidRDefault="00CC3D1B" w:rsidP="00180A71">
      <w:pPr>
        <w:pStyle w:val="Heading2"/>
        <w:numPr>
          <w:ilvl w:val="0"/>
          <w:numId w:val="0"/>
        </w:numPr>
        <w:ind w:left="1440" w:hanging="720"/>
        <w:rPr>
          <w:rStyle w:val="SubtleEmphasis"/>
          <w:rFonts w:ascii="Garamond" w:hAnsi="Garamond"/>
          <w:i w:val="0"/>
          <w:iCs w:val="0"/>
          <w:color w:val="auto"/>
        </w:rPr>
      </w:pPr>
      <w:bookmarkStart w:id="4" w:name="_Toc323718554"/>
      <w:r w:rsidRPr="00AE25FE">
        <w:rPr>
          <w:rStyle w:val="SubtleEmphasis"/>
          <w:rFonts w:ascii="Garamond" w:hAnsi="Garamond"/>
          <w:i w:val="0"/>
          <w:iCs w:val="0"/>
          <w:color w:val="auto"/>
        </w:rPr>
        <w:t>Maturity Model</w:t>
      </w:r>
      <w:bookmarkEnd w:id="4"/>
      <w:r w:rsidRPr="00AE25FE">
        <w:rPr>
          <w:rStyle w:val="SubtleEmphasis"/>
          <w:rFonts w:ascii="Garamond" w:hAnsi="Garamond"/>
          <w:i w:val="0"/>
          <w:iCs w:val="0"/>
          <w:color w:val="auto"/>
        </w:rPr>
        <w:t xml:space="preserve"> </w:t>
      </w:r>
    </w:p>
    <w:p w:rsidR="00CC3D1B" w:rsidRPr="00AE25FE" w:rsidRDefault="00CC3D1B" w:rsidP="00B1120D">
      <w:pPr>
        <w:rPr>
          <w:rFonts w:ascii="Garamond" w:hAnsi="Garamond"/>
        </w:rPr>
      </w:pPr>
    </w:p>
    <w:p w:rsidR="00CC3D1B" w:rsidRPr="00AE25FE" w:rsidRDefault="00CC3D1B" w:rsidP="00B1120D">
      <w:pPr>
        <w:rPr>
          <w:rStyle w:val="SubtleEmphasis"/>
          <w:rFonts w:ascii="Garamond" w:hAnsi="Garamond"/>
          <w:i w:val="0"/>
          <w:iCs w:val="0"/>
          <w:color w:val="auto"/>
        </w:rPr>
      </w:pPr>
      <w:r w:rsidRPr="00AE25FE">
        <w:rPr>
          <w:rStyle w:val="SubtleEmphasis"/>
          <w:rFonts w:ascii="Garamond" w:hAnsi="Garamond"/>
          <w:i w:val="0"/>
          <w:iCs w:val="0"/>
          <w:color w:val="auto"/>
        </w:rPr>
        <w:t xml:space="preserve">The concept of a maturity model in information systems dates from the early seventies (Nolan, 1973).  Within health care, contributions from </w:t>
      </w:r>
      <w:proofErr w:type="spellStart"/>
      <w:r w:rsidRPr="00AE25FE">
        <w:rPr>
          <w:rStyle w:val="SubtleEmphasis"/>
          <w:rFonts w:ascii="Garamond" w:hAnsi="Garamond"/>
          <w:i w:val="0"/>
          <w:iCs w:val="0"/>
          <w:color w:val="auto"/>
        </w:rPr>
        <w:t>Wetering</w:t>
      </w:r>
      <w:proofErr w:type="spellEnd"/>
      <w:r w:rsidRPr="00AE25FE">
        <w:rPr>
          <w:rStyle w:val="SubtleEmphasis"/>
          <w:rFonts w:ascii="Garamond" w:hAnsi="Garamond"/>
          <w:i w:val="0"/>
          <w:iCs w:val="0"/>
          <w:color w:val="auto"/>
        </w:rPr>
        <w:t xml:space="preserve"> and </w:t>
      </w:r>
      <w:proofErr w:type="spellStart"/>
      <w:r w:rsidRPr="00AE25FE">
        <w:rPr>
          <w:rStyle w:val="SubtleEmphasis"/>
          <w:rFonts w:ascii="Garamond" w:hAnsi="Garamond"/>
          <w:i w:val="0"/>
          <w:iCs w:val="0"/>
          <w:color w:val="auto"/>
        </w:rPr>
        <w:t>Batenberg</w:t>
      </w:r>
      <w:proofErr w:type="spellEnd"/>
      <w:r w:rsidRPr="00AE25FE">
        <w:rPr>
          <w:rStyle w:val="SubtleEmphasis"/>
          <w:rFonts w:ascii="Garamond" w:hAnsi="Garamond"/>
          <w:i w:val="0"/>
          <w:iCs w:val="0"/>
          <w:color w:val="auto"/>
        </w:rPr>
        <w:t xml:space="preserve"> (2009), Sharma (2008), and </w:t>
      </w:r>
      <w:proofErr w:type="spellStart"/>
      <w:r w:rsidRPr="00AE25FE">
        <w:rPr>
          <w:rStyle w:val="SubtleEmphasis"/>
          <w:rFonts w:ascii="Garamond" w:hAnsi="Garamond"/>
          <w:i w:val="0"/>
          <w:iCs w:val="0"/>
          <w:color w:val="auto"/>
        </w:rPr>
        <w:t>Filterrer</w:t>
      </w:r>
      <w:proofErr w:type="spellEnd"/>
      <w:r w:rsidRPr="00AE25FE">
        <w:rPr>
          <w:rStyle w:val="SubtleEmphasis"/>
          <w:rFonts w:ascii="Garamond" w:hAnsi="Garamond"/>
          <w:i w:val="0"/>
          <w:iCs w:val="0"/>
          <w:color w:val="auto"/>
        </w:rPr>
        <w:t xml:space="preserve"> and </w:t>
      </w:r>
      <w:proofErr w:type="spellStart"/>
      <w:r w:rsidRPr="00AE25FE">
        <w:rPr>
          <w:rStyle w:val="SubtleEmphasis"/>
          <w:rFonts w:ascii="Garamond" w:hAnsi="Garamond"/>
          <w:i w:val="0"/>
          <w:iCs w:val="0"/>
          <w:color w:val="auto"/>
        </w:rPr>
        <w:t>Rohner</w:t>
      </w:r>
      <w:proofErr w:type="spellEnd"/>
      <w:r w:rsidRPr="00AE25FE">
        <w:rPr>
          <w:rStyle w:val="SubtleEmphasis"/>
          <w:rFonts w:ascii="Garamond" w:hAnsi="Garamond"/>
          <w:i w:val="0"/>
          <w:iCs w:val="0"/>
          <w:color w:val="auto"/>
        </w:rPr>
        <w:t xml:space="preserve"> (2010) reflect different approaches and refinements to modelling the maturation process for a </w:t>
      </w:r>
      <w:r w:rsidR="00E452C1" w:rsidRPr="00AE25FE">
        <w:rPr>
          <w:rStyle w:val="SubtleEmphasis"/>
          <w:rFonts w:ascii="Garamond" w:hAnsi="Garamond"/>
          <w:i w:val="0"/>
          <w:iCs w:val="0"/>
          <w:color w:val="auto"/>
        </w:rPr>
        <w:t xml:space="preserve">HIT. </w:t>
      </w:r>
      <w:r w:rsidRPr="00AE25FE">
        <w:rPr>
          <w:rStyle w:val="SubtleEmphasis"/>
          <w:rFonts w:ascii="Garamond" w:hAnsi="Garamond"/>
          <w:i w:val="0"/>
          <w:iCs w:val="0"/>
          <w:color w:val="auto"/>
        </w:rPr>
        <w:t xml:space="preserve"> </w:t>
      </w:r>
      <w:r w:rsidR="00E452C1" w:rsidRPr="00AE25FE">
        <w:rPr>
          <w:rStyle w:val="SubtleEmphasis"/>
          <w:rFonts w:ascii="Garamond" w:hAnsi="Garamond"/>
          <w:i w:val="0"/>
          <w:iCs w:val="0"/>
          <w:color w:val="auto"/>
        </w:rPr>
        <w:t xml:space="preserve">An obvious issue is that several maturity models exist and little consensus </w:t>
      </w:r>
      <w:proofErr w:type="gramStart"/>
      <w:r w:rsidR="00E452C1" w:rsidRPr="00AE25FE">
        <w:rPr>
          <w:rStyle w:val="SubtleEmphasis"/>
          <w:rFonts w:ascii="Garamond" w:hAnsi="Garamond"/>
          <w:i w:val="0"/>
          <w:iCs w:val="0"/>
          <w:color w:val="auto"/>
        </w:rPr>
        <w:t>appears</w:t>
      </w:r>
      <w:proofErr w:type="gramEnd"/>
      <w:r w:rsidR="00E452C1" w:rsidRPr="00AE25FE">
        <w:rPr>
          <w:rStyle w:val="SubtleEmphasis"/>
          <w:rFonts w:ascii="Garamond" w:hAnsi="Garamond"/>
          <w:i w:val="0"/>
          <w:iCs w:val="0"/>
          <w:color w:val="auto"/>
        </w:rPr>
        <w:t xml:space="preserve"> to exist on the nature of maturity or the set of attributes and their constituent features.  </w:t>
      </w:r>
    </w:p>
    <w:p w:rsidR="00CC3D1B" w:rsidRPr="00AE25FE" w:rsidRDefault="00CC3D1B" w:rsidP="00B1120D">
      <w:pPr>
        <w:rPr>
          <w:rStyle w:val="SubtleEmphasis"/>
          <w:rFonts w:ascii="Garamond" w:hAnsi="Garamond"/>
          <w:i w:val="0"/>
          <w:iCs w:val="0"/>
          <w:color w:val="auto"/>
        </w:rPr>
      </w:pPr>
    </w:p>
    <w:p w:rsidR="00CC3D1B" w:rsidRPr="00AE25FE" w:rsidRDefault="00945735" w:rsidP="00414671">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One </w:t>
      </w:r>
      <w:r w:rsidR="00E452C1" w:rsidRPr="00AE25FE">
        <w:rPr>
          <w:rStyle w:val="SubtleEmphasis"/>
          <w:rFonts w:ascii="Garamond" w:hAnsi="Garamond"/>
          <w:i w:val="0"/>
          <w:iCs w:val="0"/>
          <w:color w:val="auto"/>
        </w:rPr>
        <w:t xml:space="preserve">useful </w:t>
      </w:r>
      <w:r w:rsidRPr="00AE25FE">
        <w:rPr>
          <w:rStyle w:val="SubtleEmphasis"/>
          <w:rFonts w:ascii="Garamond" w:hAnsi="Garamond"/>
          <w:i w:val="0"/>
          <w:iCs w:val="0"/>
          <w:color w:val="auto"/>
        </w:rPr>
        <w:t>conceptual structure</w:t>
      </w:r>
      <w:r w:rsidR="00ED263B"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uses a matrix to describe the dimensions of HIT (</w:t>
      </w:r>
      <w:r w:rsidR="00CC3D1B" w:rsidRPr="00AE25FE">
        <w:rPr>
          <w:rStyle w:val="SubtleEmphasis"/>
          <w:rFonts w:ascii="Garamond" w:hAnsi="Garamond"/>
          <w:i w:val="0"/>
          <w:iCs w:val="0"/>
          <w:color w:val="auto"/>
        </w:rPr>
        <w:t>Rocha, 20</w:t>
      </w:r>
      <w:r w:rsidR="00840DC4" w:rsidRPr="00AE25FE">
        <w:rPr>
          <w:rStyle w:val="SubtleEmphasis"/>
          <w:rFonts w:ascii="Garamond" w:hAnsi="Garamond"/>
          <w:i w:val="0"/>
          <w:iCs w:val="0"/>
          <w:color w:val="auto"/>
        </w:rPr>
        <w:t>12</w:t>
      </w:r>
      <w:r w:rsidR="00CC3D1B" w:rsidRPr="00AE25FE">
        <w:rPr>
          <w:rStyle w:val="SubtleEmphasis"/>
          <w:rFonts w:ascii="Garamond" w:hAnsi="Garamond"/>
          <w:i w:val="0"/>
          <w:iCs w:val="0"/>
          <w:color w:val="auto"/>
        </w:rPr>
        <w:t>).  Three elements serve to capture maturity in this representation:</w:t>
      </w:r>
    </w:p>
    <w:p w:rsidR="00CC3D1B" w:rsidRPr="00AE25FE" w:rsidRDefault="00CC3D1B" w:rsidP="00414671">
      <w:pPr>
        <w:pStyle w:val="ListParagraph"/>
        <w:ind w:left="0"/>
        <w:rPr>
          <w:rStyle w:val="SubtleEmphasis"/>
          <w:rFonts w:ascii="Garamond" w:hAnsi="Garamond"/>
          <w:i w:val="0"/>
          <w:iCs w:val="0"/>
          <w:color w:val="auto"/>
        </w:rPr>
      </w:pPr>
    </w:p>
    <w:p w:rsidR="00CC3D1B" w:rsidRPr="00AE25FE" w:rsidRDefault="00CC3D1B" w:rsidP="008C7A98">
      <w:pPr>
        <w:pStyle w:val="ListParagraph"/>
        <w:numPr>
          <w:ilvl w:val="0"/>
          <w:numId w:val="22"/>
        </w:numPr>
        <w:rPr>
          <w:rStyle w:val="SubtleEmphasis"/>
          <w:rFonts w:ascii="Garamond" w:hAnsi="Garamond"/>
          <w:i w:val="0"/>
          <w:iCs w:val="0"/>
          <w:color w:val="auto"/>
        </w:rPr>
      </w:pPr>
      <w:r w:rsidRPr="00AE25FE">
        <w:rPr>
          <w:rStyle w:val="SubtleEmphasis"/>
          <w:rFonts w:ascii="Garamond" w:hAnsi="Garamond"/>
          <w:iCs w:val="0"/>
          <w:color w:val="auto"/>
        </w:rPr>
        <w:t>Attributes</w:t>
      </w:r>
      <w:r w:rsidRPr="00AE25FE">
        <w:rPr>
          <w:rStyle w:val="SubtleEmphasis"/>
          <w:rFonts w:ascii="Garamond" w:hAnsi="Garamond"/>
          <w:i w:val="0"/>
          <w:iCs w:val="0"/>
          <w:color w:val="auto"/>
        </w:rPr>
        <w:t xml:space="preserve"> refer to the </w:t>
      </w:r>
      <w:r w:rsidR="0068216E" w:rsidRPr="00AE25FE">
        <w:rPr>
          <w:rStyle w:val="SubtleEmphasis"/>
          <w:rFonts w:ascii="Garamond" w:hAnsi="Garamond"/>
          <w:i w:val="0"/>
          <w:iCs w:val="0"/>
          <w:color w:val="auto"/>
        </w:rPr>
        <w:t>H</w:t>
      </w:r>
      <w:r w:rsidRPr="00AE25FE">
        <w:rPr>
          <w:rStyle w:val="SubtleEmphasis"/>
          <w:rFonts w:ascii="Garamond" w:hAnsi="Garamond"/>
          <w:i w:val="0"/>
          <w:iCs w:val="0"/>
          <w:color w:val="auto"/>
        </w:rPr>
        <w:t xml:space="preserve">IT themes that support </w:t>
      </w:r>
      <w:r w:rsidR="0068216E" w:rsidRPr="00AE25FE">
        <w:rPr>
          <w:rStyle w:val="SubtleEmphasis"/>
          <w:rFonts w:ascii="Garamond" w:hAnsi="Garamond"/>
          <w:i w:val="0"/>
          <w:iCs w:val="0"/>
          <w:color w:val="auto"/>
        </w:rPr>
        <w:t xml:space="preserve">various dimensions </w:t>
      </w:r>
      <w:r w:rsidR="00ED263B" w:rsidRPr="00AE25FE">
        <w:rPr>
          <w:rStyle w:val="SubtleEmphasis"/>
          <w:rFonts w:ascii="Garamond" w:hAnsi="Garamond"/>
          <w:i w:val="0"/>
          <w:iCs w:val="0"/>
          <w:color w:val="auto"/>
        </w:rPr>
        <w:t xml:space="preserve">of </w:t>
      </w:r>
      <w:r w:rsidRPr="00AE25FE">
        <w:rPr>
          <w:rStyle w:val="SubtleEmphasis"/>
          <w:rFonts w:ascii="Garamond" w:hAnsi="Garamond"/>
          <w:i w:val="0"/>
          <w:iCs w:val="0"/>
          <w:color w:val="auto"/>
        </w:rPr>
        <w:t>health care service.</w:t>
      </w:r>
    </w:p>
    <w:p w:rsidR="00CC3D1B" w:rsidRPr="00AE25FE" w:rsidRDefault="00CC3D1B" w:rsidP="00823DE3">
      <w:pPr>
        <w:pStyle w:val="ListParagraph"/>
        <w:rPr>
          <w:rStyle w:val="SubtleEmphasis"/>
          <w:rFonts w:ascii="Garamond" w:hAnsi="Garamond"/>
          <w:i w:val="0"/>
          <w:iCs w:val="0"/>
          <w:color w:val="auto"/>
        </w:rPr>
      </w:pPr>
    </w:p>
    <w:p w:rsidR="00CC3D1B" w:rsidRPr="00AE25FE" w:rsidRDefault="00ED263B" w:rsidP="008C7A98">
      <w:pPr>
        <w:pStyle w:val="ListParagraph"/>
        <w:numPr>
          <w:ilvl w:val="0"/>
          <w:numId w:val="22"/>
        </w:numPr>
        <w:rPr>
          <w:rStyle w:val="SubtleEmphasis"/>
          <w:rFonts w:ascii="Garamond" w:hAnsi="Garamond"/>
          <w:i w:val="0"/>
          <w:iCs w:val="0"/>
          <w:color w:val="auto"/>
        </w:rPr>
      </w:pPr>
      <w:r w:rsidRPr="00AE25FE">
        <w:rPr>
          <w:rStyle w:val="SubtleEmphasis"/>
          <w:rFonts w:ascii="Garamond" w:hAnsi="Garamond"/>
          <w:iCs w:val="0"/>
          <w:color w:val="auto"/>
        </w:rPr>
        <w:t>Features</w:t>
      </w:r>
      <w:r w:rsidR="00CC3D1B" w:rsidRPr="00AE25FE">
        <w:rPr>
          <w:rStyle w:val="SubtleEmphasis"/>
          <w:rFonts w:ascii="Garamond" w:hAnsi="Garamond"/>
          <w:iCs w:val="0"/>
          <w:color w:val="auto"/>
        </w:rPr>
        <w:t xml:space="preserve"> </w:t>
      </w:r>
      <w:r w:rsidR="0068216E" w:rsidRPr="00AE25FE">
        <w:rPr>
          <w:rStyle w:val="SubtleEmphasis"/>
          <w:rFonts w:ascii="Garamond" w:hAnsi="Garamond"/>
          <w:i w:val="0"/>
          <w:iCs w:val="0"/>
          <w:color w:val="auto"/>
        </w:rPr>
        <w:t>are specific dimensions of each theme</w:t>
      </w:r>
      <w:r w:rsidRPr="00AE25FE">
        <w:rPr>
          <w:rStyle w:val="SubtleEmphasis"/>
          <w:rFonts w:ascii="Garamond" w:hAnsi="Garamond"/>
          <w:i w:val="0"/>
          <w:iCs w:val="0"/>
          <w:color w:val="auto"/>
        </w:rPr>
        <w:t>.</w:t>
      </w:r>
      <w:r w:rsidR="0068216E" w:rsidRPr="00AE25FE">
        <w:rPr>
          <w:rStyle w:val="SubtleEmphasis"/>
          <w:rFonts w:ascii="Garamond" w:hAnsi="Garamond"/>
          <w:i w:val="0"/>
          <w:iCs w:val="0"/>
          <w:color w:val="auto"/>
        </w:rPr>
        <w:t xml:space="preserve"> </w:t>
      </w:r>
    </w:p>
    <w:p w:rsidR="00CC3D1B" w:rsidRPr="00AE25FE" w:rsidRDefault="00CC3D1B" w:rsidP="00823DE3">
      <w:pPr>
        <w:rPr>
          <w:rStyle w:val="SubtleEmphasis"/>
          <w:rFonts w:ascii="Garamond" w:hAnsi="Garamond"/>
          <w:i w:val="0"/>
          <w:iCs w:val="0"/>
          <w:color w:val="auto"/>
        </w:rPr>
      </w:pPr>
    </w:p>
    <w:p w:rsidR="00CC3D1B" w:rsidRPr="00AE25FE" w:rsidRDefault="00CC3D1B" w:rsidP="008C7A98">
      <w:pPr>
        <w:pStyle w:val="ListParagraph"/>
        <w:numPr>
          <w:ilvl w:val="0"/>
          <w:numId w:val="22"/>
        </w:numPr>
        <w:rPr>
          <w:rStyle w:val="SubtleEmphasis"/>
          <w:rFonts w:ascii="Garamond" w:hAnsi="Garamond"/>
          <w:i w:val="0"/>
          <w:iCs w:val="0"/>
          <w:color w:val="auto"/>
        </w:rPr>
      </w:pPr>
      <w:r w:rsidRPr="00AE25FE">
        <w:rPr>
          <w:rStyle w:val="SubtleEmphasis"/>
          <w:rFonts w:ascii="Garamond" w:hAnsi="Garamond"/>
          <w:iCs w:val="0"/>
          <w:color w:val="auto"/>
        </w:rPr>
        <w:lastRenderedPageBreak/>
        <w:t>Stages</w:t>
      </w:r>
      <w:r w:rsidRPr="00AE25FE">
        <w:rPr>
          <w:rStyle w:val="SubtleEmphasis"/>
          <w:rFonts w:ascii="Garamond" w:hAnsi="Garamond"/>
          <w:i w:val="0"/>
          <w:iCs w:val="0"/>
          <w:color w:val="auto"/>
        </w:rPr>
        <w:t xml:space="preserve"> are the developmental markers that reflect the increasing </w:t>
      </w:r>
      <w:r w:rsidR="0068216E" w:rsidRPr="00AE25FE">
        <w:rPr>
          <w:rStyle w:val="SubtleEmphasis"/>
          <w:rFonts w:ascii="Garamond" w:hAnsi="Garamond"/>
          <w:i w:val="0"/>
          <w:iCs w:val="0"/>
          <w:color w:val="auto"/>
        </w:rPr>
        <w:t xml:space="preserve">extent to which </w:t>
      </w:r>
      <w:r w:rsidRPr="00AE25FE">
        <w:rPr>
          <w:rStyle w:val="SubtleEmphasis"/>
          <w:rFonts w:ascii="Garamond" w:hAnsi="Garamond"/>
          <w:i w:val="0"/>
          <w:iCs w:val="0"/>
          <w:color w:val="auto"/>
        </w:rPr>
        <w:t xml:space="preserve">capacity of </w:t>
      </w:r>
      <w:r w:rsidR="00945735" w:rsidRPr="00AE25FE">
        <w:rPr>
          <w:rStyle w:val="SubtleEmphasis"/>
          <w:rFonts w:ascii="Garamond" w:hAnsi="Garamond"/>
          <w:i w:val="0"/>
          <w:iCs w:val="0"/>
          <w:color w:val="auto"/>
        </w:rPr>
        <w:t xml:space="preserve">any given </w:t>
      </w:r>
      <w:r w:rsidRPr="00AE25FE">
        <w:rPr>
          <w:rStyle w:val="SubtleEmphasis"/>
          <w:rFonts w:ascii="Garamond" w:hAnsi="Garamond"/>
          <w:i w:val="0"/>
          <w:iCs w:val="0"/>
          <w:color w:val="auto"/>
        </w:rPr>
        <w:t>health IT system</w:t>
      </w:r>
      <w:r w:rsidR="00840DC4" w:rsidRPr="00AE25FE">
        <w:rPr>
          <w:rStyle w:val="SubtleEmphasis"/>
          <w:rFonts w:ascii="Garamond" w:hAnsi="Garamond"/>
          <w:i w:val="0"/>
          <w:iCs w:val="0"/>
          <w:color w:val="auto"/>
        </w:rPr>
        <w:t xml:space="preserve"> incorporates additional features within an attribute</w:t>
      </w:r>
      <w:r w:rsidRPr="00AE25FE">
        <w:rPr>
          <w:rStyle w:val="SubtleEmphasis"/>
          <w:rFonts w:ascii="Garamond" w:hAnsi="Garamond"/>
          <w:i w:val="0"/>
          <w:iCs w:val="0"/>
          <w:color w:val="auto"/>
        </w:rPr>
        <w:t>.</w:t>
      </w:r>
      <w:r w:rsidR="00507F52" w:rsidRPr="00AE25FE">
        <w:rPr>
          <w:rStyle w:val="SubtleEmphasis"/>
          <w:rFonts w:ascii="Garamond" w:hAnsi="Garamond"/>
          <w:i w:val="0"/>
          <w:iCs w:val="0"/>
          <w:color w:val="auto"/>
        </w:rPr>
        <w:t xml:space="preserve"> It tracks the increase in features within an attribute.</w:t>
      </w:r>
    </w:p>
    <w:p w:rsidR="00CC3D1B" w:rsidRPr="00AE25FE" w:rsidRDefault="00CC3D1B" w:rsidP="008C7A98">
      <w:pPr>
        <w:pStyle w:val="ListParagraph"/>
        <w:rPr>
          <w:rStyle w:val="SubtleEmphasis"/>
          <w:rFonts w:ascii="Garamond" w:hAnsi="Garamond"/>
          <w:i w:val="0"/>
          <w:iCs w:val="0"/>
          <w:color w:val="auto"/>
        </w:rPr>
      </w:pPr>
    </w:p>
    <w:p w:rsidR="00CC3D1B" w:rsidRPr="00AE25FE" w:rsidRDefault="00CC3D1B" w:rsidP="004E3AF2">
      <w:pPr>
        <w:rPr>
          <w:rStyle w:val="SubtleEmphasis"/>
          <w:rFonts w:ascii="Garamond" w:hAnsi="Garamond"/>
          <w:i w:val="0"/>
          <w:iCs w:val="0"/>
          <w:color w:val="auto"/>
        </w:rPr>
      </w:pPr>
      <w:r w:rsidRPr="00AE25FE">
        <w:rPr>
          <w:rStyle w:val="SubtleEmphasis"/>
          <w:rFonts w:ascii="Garamond" w:hAnsi="Garamond"/>
          <w:i w:val="0"/>
          <w:iCs w:val="0"/>
          <w:color w:val="auto"/>
        </w:rPr>
        <w:t xml:space="preserve">In general, increased maturity is reflected by </w:t>
      </w:r>
      <w:r w:rsidR="00945735" w:rsidRPr="00AE25FE">
        <w:rPr>
          <w:rStyle w:val="SubtleEmphasis"/>
          <w:rFonts w:ascii="Garamond" w:hAnsi="Garamond"/>
          <w:i w:val="0"/>
          <w:iCs w:val="0"/>
          <w:color w:val="auto"/>
        </w:rPr>
        <w:t xml:space="preserve">any move in </w:t>
      </w:r>
      <w:r w:rsidRPr="00AE25FE">
        <w:rPr>
          <w:rStyle w:val="SubtleEmphasis"/>
          <w:rFonts w:ascii="Garamond" w:hAnsi="Garamond"/>
          <w:i w:val="0"/>
          <w:iCs w:val="0"/>
          <w:color w:val="auto"/>
        </w:rPr>
        <w:t xml:space="preserve">a south east </w:t>
      </w:r>
      <w:r w:rsidR="00C65C84" w:rsidRPr="00AE25FE">
        <w:rPr>
          <w:rStyle w:val="SubtleEmphasis"/>
          <w:rFonts w:ascii="Garamond" w:hAnsi="Garamond"/>
          <w:i w:val="0"/>
          <w:iCs w:val="0"/>
          <w:color w:val="auto"/>
        </w:rPr>
        <w:t>direction</w:t>
      </w:r>
      <w:r w:rsidRPr="00AE25FE">
        <w:rPr>
          <w:rStyle w:val="SubtleEmphasis"/>
          <w:rFonts w:ascii="Garamond" w:hAnsi="Garamond"/>
          <w:i w:val="0"/>
          <w:iCs w:val="0"/>
          <w:color w:val="auto"/>
        </w:rPr>
        <w:t>, as shown by the arrow</w:t>
      </w:r>
      <w:r w:rsidR="00C65C84" w:rsidRPr="00AE25FE">
        <w:rPr>
          <w:rStyle w:val="SubtleEmphasis"/>
          <w:rFonts w:ascii="Garamond" w:hAnsi="Garamond"/>
          <w:i w:val="0"/>
          <w:iCs w:val="0"/>
          <w:color w:val="auto"/>
        </w:rPr>
        <w:t>.</w:t>
      </w:r>
    </w:p>
    <w:p w:rsidR="00CC3D1B" w:rsidRPr="00AE25FE" w:rsidRDefault="00CC3D1B" w:rsidP="00414671">
      <w:pPr>
        <w:pStyle w:val="ListParagraph"/>
        <w:ind w:left="0"/>
        <w:rPr>
          <w:rStyle w:val="SubtleEmphasis"/>
          <w:rFonts w:ascii="Garamond" w:hAnsi="Garamond"/>
          <w:i w:val="0"/>
          <w:iCs w:val="0"/>
          <w:color w:val="auto"/>
        </w:rPr>
      </w:pP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2183"/>
        <w:gridCol w:w="1800"/>
        <w:gridCol w:w="990"/>
        <w:gridCol w:w="1800"/>
      </w:tblGrid>
      <w:tr w:rsidR="00CC3D1B" w:rsidRPr="00AE25FE" w:rsidTr="002472C6">
        <w:trPr>
          <w:jc w:val="center"/>
        </w:trPr>
        <w:tc>
          <w:tcPr>
            <w:tcW w:w="8213" w:type="dxa"/>
            <w:gridSpan w:val="5"/>
          </w:tcPr>
          <w:p w:rsidR="00CC3D1B" w:rsidRPr="00AE25FE" w:rsidRDefault="00CC3D1B" w:rsidP="002472C6">
            <w:pPr>
              <w:pStyle w:val="ListParagraph"/>
              <w:ind w:left="0"/>
              <w:rPr>
                <w:rStyle w:val="SubtleEmphasis"/>
                <w:rFonts w:ascii="Garamond" w:hAnsi="Garamond"/>
                <w:b/>
                <w:i w:val="0"/>
                <w:iCs w:val="0"/>
                <w:color w:val="auto"/>
              </w:rPr>
            </w:pPr>
            <w:r w:rsidRPr="00AE25FE">
              <w:rPr>
                <w:rStyle w:val="SubtleEmphasis"/>
                <w:rFonts w:ascii="Garamond" w:hAnsi="Garamond"/>
                <w:b/>
                <w:i w:val="0"/>
                <w:iCs w:val="0"/>
                <w:color w:val="auto"/>
              </w:rPr>
              <w:t>Table 1: Generic maturity model</w:t>
            </w:r>
          </w:p>
        </w:tc>
      </w:tr>
      <w:tr w:rsidR="00CC3D1B" w:rsidRPr="00AE25FE" w:rsidTr="002472C6">
        <w:trPr>
          <w:trHeight w:val="375"/>
          <w:jc w:val="center"/>
        </w:trPr>
        <w:tc>
          <w:tcPr>
            <w:tcW w:w="1440" w:type="dxa"/>
            <w:tcBorders>
              <w:bottom w:val="single" w:sz="4" w:space="0" w:color="auto"/>
            </w:tcBorders>
          </w:tcPr>
          <w:p w:rsidR="00CC3D1B" w:rsidRPr="00AE25FE" w:rsidRDefault="00CC3D1B" w:rsidP="002472C6">
            <w:pPr>
              <w:pStyle w:val="ListParagraph"/>
              <w:ind w:left="0"/>
              <w:jc w:val="center"/>
              <w:rPr>
                <w:rStyle w:val="SubtleEmphasis"/>
                <w:rFonts w:ascii="Garamond" w:hAnsi="Garamond"/>
                <w:b/>
                <w:i w:val="0"/>
                <w:iCs w:val="0"/>
                <w:color w:val="auto"/>
              </w:rPr>
            </w:pPr>
            <w:r w:rsidRPr="00AE25FE">
              <w:rPr>
                <w:rStyle w:val="SubtleEmphasis"/>
                <w:rFonts w:ascii="Garamond" w:hAnsi="Garamond"/>
                <w:b/>
                <w:i w:val="0"/>
                <w:iCs w:val="0"/>
                <w:color w:val="auto"/>
              </w:rPr>
              <w:t>Attributes</w:t>
            </w:r>
          </w:p>
        </w:tc>
        <w:tc>
          <w:tcPr>
            <w:tcW w:w="2183" w:type="dxa"/>
            <w:tcBorders>
              <w:bottom w:val="single" w:sz="4" w:space="0" w:color="auto"/>
            </w:tcBorders>
          </w:tcPr>
          <w:p w:rsidR="00CC3D1B" w:rsidRPr="00AE25FE" w:rsidRDefault="00CC3D1B" w:rsidP="002472C6">
            <w:pPr>
              <w:pStyle w:val="ListParagraph"/>
              <w:ind w:left="0"/>
              <w:jc w:val="center"/>
              <w:rPr>
                <w:rStyle w:val="SubtleEmphasis"/>
                <w:rFonts w:ascii="Garamond" w:hAnsi="Garamond"/>
                <w:b/>
                <w:i w:val="0"/>
                <w:iCs w:val="0"/>
                <w:color w:val="auto"/>
              </w:rPr>
            </w:pPr>
            <w:r w:rsidRPr="00AE25FE">
              <w:rPr>
                <w:rStyle w:val="SubtleEmphasis"/>
                <w:rFonts w:ascii="Garamond" w:hAnsi="Garamond"/>
                <w:b/>
                <w:i w:val="0"/>
                <w:iCs w:val="0"/>
                <w:color w:val="auto"/>
              </w:rPr>
              <w:t>Stage 1</w:t>
            </w:r>
          </w:p>
        </w:tc>
        <w:tc>
          <w:tcPr>
            <w:tcW w:w="1800" w:type="dxa"/>
            <w:tcBorders>
              <w:bottom w:val="single" w:sz="4" w:space="0" w:color="auto"/>
            </w:tcBorders>
          </w:tcPr>
          <w:p w:rsidR="00CC3D1B" w:rsidRPr="00AE25FE" w:rsidRDefault="00CC3D1B" w:rsidP="002472C6">
            <w:pPr>
              <w:pStyle w:val="ListParagraph"/>
              <w:ind w:left="0"/>
              <w:jc w:val="center"/>
              <w:rPr>
                <w:rStyle w:val="SubtleEmphasis"/>
                <w:rFonts w:ascii="Garamond" w:hAnsi="Garamond"/>
                <w:b/>
                <w:i w:val="0"/>
                <w:iCs w:val="0"/>
                <w:color w:val="auto"/>
              </w:rPr>
            </w:pPr>
            <w:r w:rsidRPr="00AE25FE">
              <w:rPr>
                <w:rStyle w:val="SubtleEmphasis"/>
                <w:rFonts w:ascii="Garamond" w:hAnsi="Garamond"/>
                <w:b/>
                <w:i w:val="0"/>
                <w:iCs w:val="0"/>
                <w:color w:val="auto"/>
              </w:rPr>
              <w:t>Stage 2</w:t>
            </w:r>
          </w:p>
        </w:tc>
        <w:tc>
          <w:tcPr>
            <w:tcW w:w="990" w:type="dxa"/>
            <w:tcBorders>
              <w:bottom w:val="single" w:sz="4" w:space="0" w:color="auto"/>
            </w:tcBorders>
          </w:tcPr>
          <w:p w:rsidR="00CC3D1B" w:rsidRPr="00AE25FE" w:rsidRDefault="00CC3D1B" w:rsidP="002472C6">
            <w:pPr>
              <w:pStyle w:val="ListParagraph"/>
              <w:ind w:left="0"/>
              <w:jc w:val="center"/>
              <w:rPr>
                <w:rStyle w:val="SubtleEmphasis"/>
                <w:rFonts w:ascii="Garamond" w:hAnsi="Garamond"/>
                <w:b/>
                <w:i w:val="0"/>
                <w:iCs w:val="0"/>
                <w:color w:val="auto"/>
              </w:rPr>
            </w:pPr>
            <w:r w:rsidRPr="00AE25FE">
              <w:rPr>
                <w:rStyle w:val="SubtleEmphasis"/>
                <w:rFonts w:ascii="Garamond" w:hAnsi="Garamond"/>
                <w:b/>
                <w:i w:val="0"/>
                <w:iCs w:val="0"/>
                <w:color w:val="auto"/>
              </w:rPr>
              <w:t>..</w:t>
            </w:r>
          </w:p>
        </w:tc>
        <w:tc>
          <w:tcPr>
            <w:tcW w:w="1800" w:type="dxa"/>
            <w:tcBorders>
              <w:bottom w:val="single" w:sz="4" w:space="0" w:color="auto"/>
            </w:tcBorders>
          </w:tcPr>
          <w:p w:rsidR="00CC3D1B" w:rsidRPr="00AE25FE" w:rsidRDefault="00CC3D1B" w:rsidP="002472C6">
            <w:pPr>
              <w:pStyle w:val="ListParagraph"/>
              <w:ind w:left="0"/>
              <w:jc w:val="center"/>
              <w:rPr>
                <w:rStyle w:val="SubtleEmphasis"/>
                <w:rFonts w:ascii="Garamond" w:hAnsi="Garamond"/>
                <w:b/>
                <w:i w:val="0"/>
                <w:iCs w:val="0"/>
                <w:color w:val="auto"/>
              </w:rPr>
            </w:pPr>
            <w:r w:rsidRPr="00AE25FE">
              <w:rPr>
                <w:rStyle w:val="SubtleEmphasis"/>
                <w:rFonts w:ascii="Garamond" w:hAnsi="Garamond"/>
                <w:b/>
                <w:i w:val="0"/>
                <w:iCs w:val="0"/>
                <w:color w:val="auto"/>
              </w:rPr>
              <w:t>Stage L</w:t>
            </w:r>
          </w:p>
        </w:tc>
      </w:tr>
      <w:tr w:rsidR="00CC3D1B" w:rsidRPr="00AE25FE" w:rsidTr="002472C6">
        <w:trPr>
          <w:jc w:val="center"/>
        </w:trPr>
        <w:tc>
          <w:tcPr>
            <w:tcW w:w="1440" w:type="dxa"/>
          </w:tcPr>
          <w:p w:rsidR="00CC3D1B" w:rsidRPr="00AE25FE" w:rsidRDefault="00CC3D1B"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1</w:t>
            </w:r>
          </w:p>
        </w:tc>
        <w:tc>
          <w:tcPr>
            <w:tcW w:w="2183" w:type="dxa"/>
          </w:tcPr>
          <w:p w:rsidR="00945735" w:rsidRPr="00AE25FE" w:rsidRDefault="0028358E" w:rsidP="002472C6">
            <w:pPr>
              <w:pStyle w:val="ListParagraph"/>
              <w:ind w:left="0"/>
              <w:rPr>
                <w:rStyle w:val="SubtleEmphasis"/>
                <w:rFonts w:ascii="Garamond" w:hAnsi="Garamond"/>
                <w:i w:val="0"/>
                <w:iCs w:val="0"/>
                <w:color w:val="auto"/>
              </w:rPr>
            </w:pPr>
            <w:r>
              <w:rPr>
                <w:rFonts w:ascii="Garamond" w:hAnsi="Garamond"/>
                <w:noProof/>
                <w:lang w:val="en-US"/>
              </w:rPr>
              <w:pict>
                <v:shapetype id="_x0000_t32" coordsize="21600,21600" o:spt="32" o:oned="t" path="m,l21600,21600e" filled="f">
                  <v:path arrowok="t" fillok="f" o:connecttype="none"/>
                  <o:lock v:ext="edit" shapetype="t"/>
                </v:shapetype>
                <v:shape id="AutoShape 11" o:spid="_x0000_s1026" type="#_x0000_t32" style="position:absolute;margin-left:21.1pt;margin-top:19.9pt;width:251.25pt;height:15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" strokecolor="#365f91" strokeweight="2.25pt">
                  <v:stroke endarrow="block"/>
                </v:shape>
              </w:pict>
            </w:r>
            <w:r w:rsidR="00CC3D1B"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Feature</w:t>
            </w:r>
            <w:r w:rsidR="00CC3D1B" w:rsidRPr="00AE25FE">
              <w:rPr>
                <w:rStyle w:val="SubtleEmphasis"/>
                <w:rFonts w:ascii="Garamond" w:hAnsi="Garamond"/>
                <w:i w:val="0"/>
                <w:iCs w:val="0"/>
                <w:color w:val="auto"/>
              </w:rPr>
              <w:t xml:space="preserve"> 1</w:t>
            </w:r>
          </w:p>
          <w:p w:rsidR="00CC3D1B" w:rsidRPr="00AE25FE" w:rsidRDefault="00CC3D1B" w:rsidP="002472C6">
            <w:pPr>
              <w:pStyle w:val="ListParagraph"/>
              <w:ind w:left="0"/>
              <w:rPr>
                <w:rStyle w:val="SubtleEmphasis"/>
                <w:rFonts w:ascii="Garamond" w:hAnsi="Garamond"/>
                <w:i w:val="0"/>
                <w:iCs w:val="0"/>
                <w:color w:val="auto"/>
              </w:rPr>
            </w:pPr>
          </w:p>
        </w:tc>
        <w:tc>
          <w:tcPr>
            <w:tcW w:w="1800" w:type="dxa"/>
          </w:tcPr>
          <w:p w:rsidR="00504B64" w:rsidRPr="00AE25FE" w:rsidRDefault="00CC3D1B"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Feature</w:t>
            </w:r>
            <w:r w:rsidRPr="00AE25FE">
              <w:rPr>
                <w:rStyle w:val="SubtleEmphasis"/>
                <w:rFonts w:ascii="Garamond" w:hAnsi="Garamond"/>
                <w:i w:val="0"/>
                <w:iCs w:val="0"/>
                <w:color w:val="auto"/>
              </w:rPr>
              <w:t xml:space="preserve"> 1 </w:t>
            </w:r>
          </w:p>
          <w:p w:rsidR="00CC3D1B" w:rsidRPr="00AE25FE" w:rsidRDefault="00CC3D1B"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Feature</w:t>
            </w:r>
            <w:r w:rsidRPr="00AE25FE">
              <w:rPr>
                <w:rStyle w:val="SubtleEmphasis"/>
                <w:rFonts w:ascii="Garamond" w:hAnsi="Garamond"/>
                <w:i w:val="0"/>
                <w:iCs w:val="0"/>
                <w:color w:val="auto"/>
              </w:rPr>
              <w:t xml:space="preserve"> 2</w:t>
            </w:r>
          </w:p>
          <w:p w:rsidR="00504B64" w:rsidRPr="00AE25FE" w:rsidRDefault="00504B64" w:rsidP="002472C6">
            <w:pPr>
              <w:pStyle w:val="ListParagraph"/>
              <w:ind w:left="0"/>
              <w:rPr>
                <w:rStyle w:val="SubtleEmphasis"/>
                <w:rFonts w:ascii="Garamond" w:hAnsi="Garamond"/>
                <w:i w:val="0"/>
                <w:iCs w:val="0"/>
                <w:color w:val="auto"/>
              </w:rPr>
            </w:pPr>
          </w:p>
          <w:p w:rsidR="00CC3D1B" w:rsidRPr="00AE25FE" w:rsidRDefault="00CC3D1B" w:rsidP="002472C6">
            <w:pPr>
              <w:pStyle w:val="ListParagraph"/>
              <w:ind w:left="0"/>
              <w:rPr>
                <w:rStyle w:val="SubtleEmphasis"/>
                <w:rFonts w:ascii="Garamond" w:hAnsi="Garamond"/>
                <w:i w:val="0"/>
                <w:iCs w:val="0"/>
                <w:color w:val="auto"/>
              </w:rPr>
            </w:pPr>
          </w:p>
        </w:tc>
        <w:tc>
          <w:tcPr>
            <w:tcW w:w="990" w:type="dxa"/>
          </w:tcPr>
          <w:p w:rsidR="00CC3D1B" w:rsidRPr="00AE25FE" w:rsidRDefault="00CC3D1B" w:rsidP="002472C6">
            <w:pPr>
              <w:jc w:val="center"/>
              <w:rPr>
                <w:rFonts w:ascii="Garamond" w:hAnsi="Garamond"/>
              </w:rPr>
            </w:pPr>
            <w:r w:rsidRPr="00AE25FE">
              <w:rPr>
                <w:rStyle w:val="SubtleEmphasis"/>
                <w:rFonts w:ascii="Garamond" w:hAnsi="Garamond"/>
                <w:i w:val="0"/>
                <w:iCs w:val="0"/>
                <w:color w:val="auto"/>
              </w:rPr>
              <w:t>..</w:t>
            </w:r>
          </w:p>
        </w:tc>
        <w:tc>
          <w:tcPr>
            <w:tcW w:w="1800" w:type="dxa"/>
          </w:tcPr>
          <w:p w:rsidR="00504B64" w:rsidRPr="00AE25FE" w:rsidRDefault="00CC3D1B"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Feature</w:t>
            </w:r>
            <w:r w:rsidRPr="00AE25FE">
              <w:rPr>
                <w:rStyle w:val="SubtleEmphasis"/>
                <w:rFonts w:ascii="Garamond" w:hAnsi="Garamond"/>
                <w:i w:val="0"/>
                <w:iCs w:val="0"/>
                <w:color w:val="auto"/>
              </w:rPr>
              <w:t xml:space="preserve"> 1 </w:t>
            </w:r>
          </w:p>
          <w:p w:rsidR="00CC3D1B" w:rsidRPr="00AE25FE" w:rsidRDefault="00CC3D1B"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Feature</w:t>
            </w:r>
            <w:r w:rsidRPr="00AE25FE">
              <w:rPr>
                <w:rStyle w:val="SubtleEmphasis"/>
                <w:rFonts w:ascii="Garamond" w:hAnsi="Garamond"/>
                <w:i w:val="0"/>
                <w:iCs w:val="0"/>
                <w:color w:val="auto"/>
              </w:rPr>
              <w:t xml:space="preserve"> 2</w:t>
            </w:r>
          </w:p>
          <w:p w:rsidR="00CC3D1B" w:rsidRPr="00AE25FE" w:rsidRDefault="00CC3D1B"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w:t>
            </w:r>
          </w:p>
          <w:p w:rsidR="00CC3D1B" w:rsidRPr="00AE25FE" w:rsidRDefault="00CC3D1B"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Feature</w:t>
            </w:r>
            <w:r w:rsidRPr="00AE25FE">
              <w:rPr>
                <w:rStyle w:val="SubtleEmphasis"/>
                <w:rFonts w:ascii="Garamond" w:hAnsi="Garamond"/>
                <w:i w:val="0"/>
                <w:iCs w:val="0"/>
                <w:color w:val="auto"/>
              </w:rPr>
              <w:t xml:space="preserve"> </w:t>
            </w:r>
            <w:r w:rsidR="00504B64" w:rsidRPr="00AE25FE">
              <w:rPr>
                <w:rStyle w:val="SubtleEmphasis"/>
                <w:rFonts w:ascii="Garamond" w:hAnsi="Garamond"/>
                <w:i w:val="0"/>
                <w:iCs w:val="0"/>
                <w:color w:val="auto"/>
              </w:rPr>
              <w:t>K</w:t>
            </w:r>
          </w:p>
        </w:tc>
      </w:tr>
      <w:tr w:rsidR="00504B64" w:rsidRPr="00AE25FE" w:rsidTr="002472C6">
        <w:trPr>
          <w:trHeight w:val="1115"/>
          <w:jc w:val="center"/>
        </w:trPr>
        <w:tc>
          <w:tcPr>
            <w:tcW w:w="1440" w:type="dxa"/>
          </w:tcPr>
          <w:p w:rsidR="00504B64" w:rsidRPr="00AE25FE" w:rsidRDefault="00504B64"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2</w:t>
            </w:r>
          </w:p>
        </w:tc>
        <w:tc>
          <w:tcPr>
            <w:tcW w:w="2183" w:type="dxa"/>
          </w:tcPr>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1</w:t>
            </w:r>
          </w:p>
          <w:p w:rsidR="00504B64" w:rsidRPr="00AE25FE" w:rsidRDefault="00504B64" w:rsidP="00504B64">
            <w:pPr>
              <w:pStyle w:val="ListParagraph"/>
              <w:ind w:left="0"/>
              <w:rPr>
                <w:rStyle w:val="SubtleEmphasis"/>
                <w:rFonts w:ascii="Garamond" w:hAnsi="Garamond"/>
                <w:i w:val="0"/>
                <w:iCs w:val="0"/>
                <w:color w:val="auto"/>
              </w:rPr>
            </w:pPr>
          </w:p>
        </w:tc>
        <w:tc>
          <w:tcPr>
            <w:tcW w:w="1800" w:type="dxa"/>
          </w:tcPr>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Feature 1 </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2</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3</w:t>
            </w:r>
          </w:p>
          <w:p w:rsidR="00504B64" w:rsidRPr="00AE25FE" w:rsidRDefault="00504B64" w:rsidP="00504B64">
            <w:pPr>
              <w:pStyle w:val="ListParagraph"/>
              <w:ind w:left="0"/>
              <w:rPr>
                <w:rStyle w:val="SubtleEmphasis"/>
                <w:rFonts w:ascii="Garamond" w:hAnsi="Garamond"/>
                <w:i w:val="0"/>
                <w:iCs w:val="0"/>
                <w:color w:val="auto"/>
              </w:rPr>
            </w:pPr>
          </w:p>
        </w:tc>
        <w:tc>
          <w:tcPr>
            <w:tcW w:w="990" w:type="dxa"/>
          </w:tcPr>
          <w:p w:rsidR="00504B64" w:rsidRPr="00AE25FE" w:rsidRDefault="00504B64" w:rsidP="00504B64">
            <w:pPr>
              <w:jc w:val="center"/>
              <w:rPr>
                <w:rFonts w:ascii="Garamond" w:hAnsi="Garamond"/>
              </w:rPr>
            </w:pPr>
            <w:r w:rsidRPr="00AE25FE">
              <w:rPr>
                <w:rStyle w:val="SubtleEmphasis"/>
                <w:rFonts w:ascii="Garamond" w:hAnsi="Garamond"/>
                <w:i w:val="0"/>
                <w:iCs w:val="0"/>
                <w:color w:val="auto"/>
              </w:rPr>
              <w:t>..</w:t>
            </w:r>
          </w:p>
        </w:tc>
        <w:tc>
          <w:tcPr>
            <w:tcW w:w="1800" w:type="dxa"/>
          </w:tcPr>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Feature 1 </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2</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J</w:t>
            </w:r>
          </w:p>
        </w:tc>
      </w:tr>
      <w:tr w:rsidR="00504B64" w:rsidRPr="00AE25FE" w:rsidTr="002472C6">
        <w:trPr>
          <w:jc w:val="center"/>
        </w:trPr>
        <w:tc>
          <w:tcPr>
            <w:tcW w:w="1440" w:type="dxa"/>
          </w:tcPr>
          <w:p w:rsidR="00504B64" w:rsidRPr="00AE25FE" w:rsidRDefault="00504B64"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w:t>
            </w:r>
          </w:p>
        </w:tc>
        <w:tc>
          <w:tcPr>
            <w:tcW w:w="2183" w:type="dxa"/>
          </w:tcPr>
          <w:p w:rsidR="00504B64" w:rsidRPr="00AE25FE" w:rsidRDefault="00504B64" w:rsidP="00504B64">
            <w:pPr>
              <w:pStyle w:val="ListParagraph"/>
              <w:ind w:left="0"/>
              <w:rPr>
                <w:rStyle w:val="SubtleEmphasis"/>
                <w:rFonts w:ascii="Garamond" w:hAnsi="Garamond"/>
                <w:i w:val="0"/>
                <w:iCs w:val="0"/>
                <w:color w:val="auto"/>
              </w:rPr>
            </w:pPr>
          </w:p>
        </w:tc>
        <w:tc>
          <w:tcPr>
            <w:tcW w:w="1800" w:type="dxa"/>
          </w:tcPr>
          <w:p w:rsidR="00504B64" w:rsidRPr="00AE25FE" w:rsidRDefault="00504B64" w:rsidP="00504B64">
            <w:pPr>
              <w:pStyle w:val="ListParagraph"/>
              <w:ind w:left="0"/>
              <w:rPr>
                <w:rStyle w:val="SubtleEmphasis"/>
                <w:rFonts w:ascii="Garamond" w:hAnsi="Garamond"/>
                <w:i w:val="0"/>
                <w:iCs w:val="0"/>
                <w:color w:val="auto"/>
              </w:rPr>
            </w:pPr>
          </w:p>
        </w:tc>
        <w:tc>
          <w:tcPr>
            <w:tcW w:w="990" w:type="dxa"/>
          </w:tcPr>
          <w:p w:rsidR="00504B64" w:rsidRPr="00AE25FE" w:rsidRDefault="00504B64" w:rsidP="00504B64">
            <w:pPr>
              <w:jc w:val="center"/>
              <w:rPr>
                <w:rFonts w:ascii="Garamond" w:hAnsi="Garamond"/>
              </w:rPr>
            </w:pPr>
          </w:p>
        </w:tc>
        <w:tc>
          <w:tcPr>
            <w:tcW w:w="1800" w:type="dxa"/>
          </w:tcPr>
          <w:p w:rsidR="00504B64" w:rsidRPr="00AE25FE" w:rsidRDefault="00504B64" w:rsidP="00504B64">
            <w:pPr>
              <w:pStyle w:val="ListParagraph"/>
              <w:ind w:left="0"/>
              <w:rPr>
                <w:rStyle w:val="SubtleEmphasis"/>
                <w:rFonts w:ascii="Garamond" w:hAnsi="Garamond"/>
                <w:i w:val="0"/>
                <w:iCs w:val="0"/>
                <w:color w:val="auto"/>
              </w:rPr>
            </w:pPr>
          </w:p>
        </w:tc>
      </w:tr>
      <w:tr w:rsidR="00504B64" w:rsidRPr="00AE25FE" w:rsidTr="002472C6">
        <w:trPr>
          <w:jc w:val="center"/>
        </w:trPr>
        <w:tc>
          <w:tcPr>
            <w:tcW w:w="1440" w:type="dxa"/>
          </w:tcPr>
          <w:p w:rsidR="00504B64" w:rsidRPr="00AE25FE" w:rsidRDefault="00504B64" w:rsidP="002472C6">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K</w:t>
            </w:r>
          </w:p>
        </w:tc>
        <w:tc>
          <w:tcPr>
            <w:tcW w:w="2183" w:type="dxa"/>
          </w:tcPr>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1</w:t>
            </w:r>
          </w:p>
          <w:p w:rsidR="00504B64" w:rsidRPr="00AE25FE" w:rsidRDefault="00504B64" w:rsidP="00504B64">
            <w:pPr>
              <w:pStyle w:val="ListParagraph"/>
              <w:ind w:left="0"/>
              <w:rPr>
                <w:rStyle w:val="SubtleEmphasis"/>
                <w:rFonts w:ascii="Garamond" w:hAnsi="Garamond"/>
                <w:i w:val="0"/>
                <w:iCs w:val="0"/>
                <w:color w:val="auto"/>
              </w:rPr>
            </w:pPr>
          </w:p>
        </w:tc>
        <w:tc>
          <w:tcPr>
            <w:tcW w:w="1800" w:type="dxa"/>
          </w:tcPr>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Feature 1 </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2</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3</w:t>
            </w:r>
          </w:p>
          <w:p w:rsidR="00504B64" w:rsidRPr="00AE25FE" w:rsidRDefault="00504B64" w:rsidP="00504B64">
            <w:pPr>
              <w:pStyle w:val="ListParagraph"/>
              <w:ind w:left="0"/>
              <w:rPr>
                <w:rStyle w:val="SubtleEmphasis"/>
                <w:rFonts w:ascii="Garamond" w:hAnsi="Garamond"/>
                <w:i w:val="0"/>
                <w:iCs w:val="0"/>
                <w:color w:val="auto"/>
              </w:rPr>
            </w:pPr>
          </w:p>
        </w:tc>
        <w:tc>
          <w:tcPr>
            <w:tcW w:w="990" w:type="dxa"/>
          </w:tcPr>
          <w:p w:rsidR="00504B64" w:rsidRPr="00AE25FE" w:rsidRDefault="00504B64" w:rsidP="00504B64">
            <w:pPr>
              <w:jc w:val="center"/>
              <w:rPr>
                <w:rFonts w:ascii="Garamond" w:hAnsi="Garamond"/>
              </w:rPr>
            </w:pPr>
            <w:r w:rsidRPr="00AE25FE">
              <w:rPr>
                <w:rStyle w:val="SubtleEmphasis"/>
                <w:rFonts w:ascii="Garamond" w:hAnsi="Garamond"/>
                <w:i w:val="0"/>
                <w:iCs w:val="0"/>
                <w:color w:val="auto"/>
              </w:rPr>
              <w:t>..</w:t>
            </w:r>
          </w:p>
        </w:tc>
        <w:tc>
          <w:tcPr>
            <w:tcW w:w="1800" w:type="dxa"/>
          </w:tcPr>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xml:space="preserve">- Feature 1 </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2</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w:t>
            </w:r>
          </w:p>
          <w:p w:rsidR="00504B64" w:rsidRPr="00AE25FE" w:rsidRDefault="00504B64" w:rsidP="00504B64">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 Feature I</w:t>
            </w:r>
          </w:p>
        </w:tc>
      </w:tr>
      <w:tr w:rsidR="00CC3D1B" w:rsidRPr="00AE25FE" w:rsidTr="002472C6">
        <w:trPr>
          <w:jc w:val="center"/>
        </w:trPr>
        <w:tc>
          <w:tcPr>
            <w:tcW w:w="8213" w:type="dxa"/>
            <w:gridSpan w:val="5"/>
          </w:tcPr>
          <w:p w:rsidR="00CC3D1B" w:rsidRPr="00AE25FE" w:rsidRDefault="00CC3D1B" w:rsidP="00C861E3">
            <w:pPr>
              <w:pStyle w:val="ListParagraph"/>
              <w:ind w:left="0"/>
              <w:rPr>
                <w:rStyle w:val="SubtleEmphasis"/>
                <w:rFonts w:ascii="Garamond" w:hAnsi="Garamond"/>
                <w:i w:val="0"/>
                <w:iCs w:val="0"/>
                <w:color w:val="auto"/>
              </w:rPr>
            </w:pPr>
            <w:r w:rsidRPr="00AE25FE">
              <w:rPr>
                <w:rStyle w:val="SubtleEmphasis"/>
                <w:rFonts w:ascii="Garamond" w:hAnsi="Garamond"/>
                <w:i w:val="0"/>
                <w:iCs w:val="0"/>
                <w:color w:val="auto"/>
              </w:rPr>
              <w:t>Adapted from Rocha (20</w:t>
            </w:r>
            <w:r w:rsidR="00C861E3" w:rsidRPr="00AE25FE">
              <w:rPr>
                <w:rStyle w:val="SubtleEmphasis"/>
                <w:rFonts w:ascii="Garamond" w:hAnsi="Garamond"/>
                <w:i w:val="0"/>
                <w:iCs w:val="0"/>
                <w:color w:val="auto"/>
              </w:rPr>
              <w:t>12</w:t>
            </w:r>
            <w:r w:rsidRPr="00AE25FE">
              <w:rPr>
                <w:rStyle w:val="SubtleEmphasis"/>
                <w:rFonts w:ascii="Garamond" w:hAnsi="Garamond"/>
                <w:i w:val="0"/>
                <w:iCs w:val="0"/>
                <w:color w:val="auto"/>
              </w:rPr>
              <w:t>)</w:t>
            </w:r>
          </w:p>
        </w:tc>
      </w:tr>
    </w:tbl>
    <w:p w:rsidR="00CC3D1B" w:rsidRPr="00AE25FE" w:rsidRDefault="00CC3D1B" w:rsidP="00414671">
      <w:pPr>
        <w:pStyle w:val="ListParagraph"/>
        <w:ind w:left="0"/>
        <w:rPr>
          <w:rStyle w:val="SubtleEmphasis"/>
          <w:rFonts w:ascii="Garamond" w:hAnsi="Garamond"/>
          <w:i w:val="0"/>
          <w:iCs w:val="0"/>
          <w:color w:val="auto"/>
        </w:rPr>
      </w:pPr>
    </w:p>
    <w:p w:rsidR="0068216E" w:rsidRPr="00AE25FE" w:rsidRDefault="00504B64" w:rsidP="00B1120D">
      <w:pPr>
        <w:rPr>
          <w:rStyle w:val="SubtleEmphasis"/>
          <w:rFonts w:ascii="Garamond" w:hAnsi="Garamond"/>
          <w:i w:val="0"/>
          <w:iCs w:val="0"/>
          <w:color w:val="auto"/>
        </w:rPr>
      </w:pPr>
      <w:r w:rsidRPr="00AE25FE">
        <w:rPr>
          <w:rStyle w:val="SubtleEmphasis"/>
          <w:rFonts w:ascii="Garamond" w:hAnsi="Garamond"/>
          <w:i w:val="0"/>
          <w:iCs w:val="0"/>
          <w:color w:val="auto"/>
        </w:rPr>
        <w:t>Management at each health provider setting will acquire software/hardware systems that have the potential to support</w:t>
      </w:r>
      <w:r w:rsidR="0068216E" w:rsidRPr="00AE25FE">
        <w:rPr>
          <w:rStyle w:val="SubtleEmphasis"/>
          <w:rFonts w:ascii="Garamond" w:hAnsi="Garamond"/>
          <w:i w:val="0"/>
          <w:iCs w:val="0"/>
          <w:color w:val="auto"/>
        </w:rPr>
        <w:t xml:space="preserve"> certain </w:t>
      </w:r>
      <w:r w:rsidRPr="00AE25FE">
        <w:rPr>
          <w:rStyle w:val="SubtleEmphasis"/>
          <w:rFonts w:ascii="Garamond" w:hAnsi="Garamond"/>
          <w:i w:val="0"/>
          <w:iCs w:val="0"/>
          <w:color w:val="auto"/>
        </w:rPr>
        <w:t>attributes and</w:t>
      </w:r>
      <w:r w:rsidR="0068216E" w:rsidRPr="00AE25FE">
        <w:rPr>
          <w:rStyle w:val="SubtleEmphasis"/>
          <w:rFonts w:ascii="Garamond" w:hAnsi="Garamond"/>
          <w:i w:val="0"/>
          <w:iCs w:val="0"/>
          <w:color w:val="auto"/>
        </w:rPr>
        <w:t xml:space="preserve"> features</w:t>
      </w:r>
      <w:r w:rsidR="00C65C84"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Within an</w:t>
      </w:r>
      <w:r w:rsidR="0068216E" w:rsidRPr="00AE25FE">
        <w:rPr>
          <w:rStyle w:val="SubtleEmphasis"/>
          <w:rFonts w:ascii="Garamond" w:hAnsi="Garamond"/>
          <w:i w:val="0"/>
          <w:iCs w:val="0"/>
          <w:color w:val="auto"/>
        </w:rPr>
        <w:t>y</w:t>
      </w:r>
      <w:r w:rsidRPr="00AE25FE">
        <w:rPr>
          <w:rStyle w:val="SubtleEmphasis"/>
          <w:rFonts w:ascii="Garamond" w:hAnsi="Garamond"/>
          <w:i w:val="0"/>
          <w:iCs w:val="0"/>
          <w:color w:val="auto"/>
        </w:rPr>
        <w:t xml:space="preserve"> attribute</w:t>
      </w:r>
      <w:r w:rsidR="00C65C84"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w:t>
      </w:r>
      <w:r w:rsidR="0068216E" w:rsidRPr="00AE25FE">
        <w:rPr>
          <w:rStyle w:val="SubtleEmphasis"/>
          <w:rFonts w:ascii="Garamond" w:hAnsi="Garamond"/>
          <w:iCs w:val="0"/>
          <w:color w:val="auto"/>
        </w:rPr>
        <w:t>f</w:t>
      </w:r>
      <w:r w:rsidRPr="00AE25FE">
        <w:rPr>
          <w:rStyle w:val="SubtleEmphasis"/>
          <w:rFonts w:ascii="Garamond" w:hAnsi="Garamond"/>
          <w:iCs w:val="0"/>
          <w:color w:val="auto"/>
        </w:rPr>
        <w:t>eatures</w:t>
      </w:r>
      <w:r w:rsidRPr="00AE25FE">
        <w:rPr>
          <w:rStyle w:val="SubtleEmphasis"/>
          <w:rFonts w:ascii="Garamond" w:hAnsi="Garamond"/>
          <w:i w:val="0"/>
          <w:iCs w:val="0"/>
          <w:color w:val="auto"/>
        </w:rPr>
        <w:t xml:space="preserve"> that reflect increasing </w:t>
      </w:r>
      <w:r w:rsidR="0068216E" w:rsidRPr="00AE25FE">
        <w:rPr>
          <w:rStyle w:val="SubtleEmphasis"/>
          <w:rFonts w:ascii="Garamond" w:hAnsi="Garamond"/>
          <w:i w:val="0"/>
          <w:iCs w:val="0"/>
          <w:color w:val="auto"/>
        </w:rPr>
        <w:t xml:space="preserve">diversity of health information </w:t>
      </w:r>
      <w:r w:rsidRPr="00AE25FE">
        <w:rPr>
          <w:rStyle w:val="SubtleEmphasis"/>
          <w:rFonts w:ascii="Garamond" w:hAnsi="Garamond"/>
          <w:i w:val="0"/>
          <w:iCs w:val="0"/>
          <w:color w:val="auto"/>
        </w:rPr>
        <w:t>capabilities</w:t>
      </w:r>
      <w:r w:rsidR="00840DC4" w:rsidRPr="00AE25FE">
        <w:rPr>
          <w:rStyle w:val="SubtleEmphasis"/>
          <w:rFonts w:ascii="Garamond" w:hAnsi="Garamond"/>
          <w:i w:val="0"/>
          <w:iCs w:val="0"/>
          <w:color w:val="auto"/>
        </w:rPr>
        <w:t xml:space="preserve"> reflect increased maturity</w:t>
      </w:r>
      <w:r w:rsidRPr="00AE25FE">
        <w:rPr>
          <w:rStyle w:val="SubtleEmphasis"/>
          <w:rFonts w:ascii="Garamond" w:hAnsi="Garamond"/>
          <w:i w:val="0"/>
          <w:iCs w:val="0"/>
          <w:color w:val="auto"/>
        </w:rPr>
        <w:t>. An upper bound</w:t>
      </w:r>
      <w:r w:rsidR="00C861E3"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 xml:space="preserve">exists on the number of features within </w:t>
      </w:r>
      <w:r w:rsidR="0068216E" w:rsidRPr="00AE25FE">
        <w:rPr>
          <w:rStyle w:val="SubtleEmphasis"/>
          <w:rFonts w:ascii="Garamond" w:hAnsi="Garamond"/>
          <w:i w:val="0"/>
          <w:iCs w:val="0"/>
          <w:color w:val="auto"/>
        </w:rPr>
        <w:t xml:space="preserve">any </w:t>
      </w:r>
      <w:r w:rsidRPr="00AE25FE">
        <w:rPr>
          <w:rStyle w:val="SubtleEmphasis"/>
          <w:rFonts w:ascii="Garamond" w:hAnsi="Garamond"/>
          <w:i w:val="0"/>
          <w:iCs w:val="0"/>
          <w:color w:val="auto"/>
        </w:rPr>
        <w:t>attribute</w:t>
      </w:r>
      <w:r w:rsidR="0068216E" w:rsidRPr="00AE25FE">
        <w:rPr>
          <w:rStyle w:val="SubtleEmphasis"/>
          <w:rFonts w:ascii="Garamond" w:hAnsi="Garamond"/>
          <w:i w:val="0"/>
          <w:iCs w:val="0"/>
          <w:color w:val="auto"/>
        </w:rPr>
        <w:t xml:space="preserve"> that are </w:t>
      </w:r>
      <w:r w:rsidR="00EF4629" w:rsidRPr="00AE25FE">
        <w:rPr>
          <w:rStyle w:val="SubtleEmphasis"/>
          <w:rFonts w:ascii="Garamond" w:hAnsi="Garamond"/>
          <w:i w:val="0"/>
          <w:iCs w:val="0"/>
          <w:color w:val="auto"/>
        </w:rPr>
        <w:t xml:space="preserve">available to users.  A challenge in the current environment is that vendors update and add to the </w:t>
      </w:r>
      <w:r w:rsidR="00C65C84" w:rsidRPr="00AE25FE">
        <w:rPr>
          <w:rStyle w:val="SubtleEmphasis"/>
          <w:rFonts w:ascii="Garamond" w:hAnsi="Garamond"/>
          <w:i w:val="0"/>
          <w:iCs w:val="0"/>
          <w:color w:val="auto"/>
        </w:rPr>
        <w:t>attribute/</w:t>
      </w:r>
      <w:r w:rsidR="00EF4629" w:rsidRPr="00AE25FE">
        <w:rPr>
          <w:rStyle w:val="SubtleEmphasis"/>
          <w:rFonts w:ascii="Garamond" w:hAnsi="Garamond"/>
          <w:i w:val="0"/>
          <w:iCs w:val="0"/>
          <w:color w:val="auto"/>
        </w:rPr>
        <w:t>feature set for HIT technologies.</w:t>
      </w:r>
      <w:r w:rsidRPr="00AE25FE">
        <w:rPr>
          <w:rStyle w:val="SubtleEmphasis"/>
          <w:rFonts w:ascii="Garamond" w:hAnsi="Garamond"/>
          <w:i w:val="0"/>
          <w:iCs w:val="0"/>
          <w:color w:val="auto"/>
        </w:rPr>
        <w:t xml:space="preserve"> </w:t>
      </w:r>
      <w:r w:rsidR="00EF4629" w:rsidRPr="00AE25FE">
        <w:rPr>
          <w:rStyle w:val="SubtleEmphasis"/>
          <w:rFonts w:ascii="Garamond" w:hAnsi="Garamond"/>
          <w:i w:val="0"/>
          <w:iCs w:val="0"/>
          <w:color w:val="auto"/>
        </w:rPr>
        <w:t xml:space="preserve"> </w:t>
      </w:r>
      <w:r w:rsidR="0068216E" w:rsidRPr="00AE25FE">
        <w:rPr>
          <w:rStyle w:val="SubtleEmphasis"/>
          <w:rFonts w:ascii="Garamond" w:hAnsi="Garamond"/>
          <w:i w:val="0"/>
          <w:iCs w:val="0"/>
          <w:color w:val="auto"/>
        </w:rPr>
        <w:t>Further, little consensus appears to exist on the desirable set of attributes or their constituent features.</w:t>
      </w:r>
    </w:p>
    <w:p w:rsidR="0068216E" w:rsidRPr="00AE25FE" w:rsidRDefault="0068216E" w:rsidP="00B1120D">
      <w:pPr>
        <w:rPr>
          <w:rStyle w:val="SubtleEmphasis"/>
          <w:rFonts w:ascii="Garamond" w:hAnsi="Garamond"/>
          <w:i w:val="0"/>
          <w:iCs w:val="0"/>
          <w:color w:val="auto"/>
        </w:rPr>
      </w:pPr>
    </w:p>
    <w:p w:rsidR="00504B64" w:rsidRPr="00AE25FE" w:rsidRDefault="00EF4629" w:rsidP="00B1120D">
      <w:pPr>
        <w:rPr>
          <w:rStyle w:val="SubtleEmphasis"/>
          <w:rFonts w:ascii="Garamond" w:hAnsi="Garamond"/>
          <w:i w:val="0"/>
          <w:iCs w:val="0"/>
          <w:color w:val="auto"/>
        </w:rPr>
      </w:pPr>
      <w:r w:rsidRPr="00AE25FE">
        <w:rPr>
          <w:rStyle w:val="SubtleEmphasis"/>
          <w:rFonts w:ascii="Garamond" w:hAnsi="Garamond"/>
          <w:i w:val="0"/>
          <w:iCs w:val="0"/>
          <w:color w:val="auto"/>
        </w:rPr>
        <w:t xml:space="preserve">Any measure or index of maturity at a specific provider location is a function </w:t>
      </w:r>
      <w:r w:rsidR="00C65C84" w:rsidRPr="00AE25FE">
        <w:rPr>
          <w:rStyle w:val="SubtleEmphasis"/>
          <w:rFonts w:ascii="Garamond" w:hAnsi="Garamond"/>
          <w:i w:val="0"/>
          <w:iCs w:val="0"/>
          <w:color w:val="auto"/>
        </w:rPr>
        <w:t xml:space="preserve">of </w:t>
      </w:r>
      <w:r w:rsidR="0068216E" w:rsidRPr="00AE25FE">
        <w:rPr>
          <w:rStyle w:val="SubtleEmphasis"/>
          <w:rFonts w:ascii="Garamond" w:hAnsi="Garamond"/>
          <w:i w:val="0"/>
          <w:iCs w:val="0"/>
          <w:color w:val="auto"/>
        </w:rPr>
        <w:t xml:space="preserve">three </w:t>
      </w:r>
      <w:r w:rsidRPr="00AE25FE">
        <w:rPr>
          <w:rStyle w:val="SubtleEmphasis"/>
          <w:rFonts w:ascii="Garamond" w:hAnsi="Garamond"/>
          <w:i w:val="0"/>
          <w:iCs w:val="0"/>
          <w:color w:val="auto"/>
        </w:rPr>
        <w:t xml:space="preserve">dimensions: 1) the number </w:t>
      </w:r>
      <w:r w:rsidR="00507F52" w:rsidRPr="00AE25FE">
        <w:rPr>
          <w:rStyle w:val="SubtleEmphasis"/>
          <w:rFonts w:ascii="Garamond" w:hAnsi="Garamond"/>
          <w:i w:val="0"/>
          <w:iCs w:val="0"/>
          <w:color w:val="auto"/>
        </w:rPr>
        <w:t xml:space="preserve">of </w:t>
      </w:r>
      <w:r w:rsidRPr="00AE25FE">
        <w:rPr>
          <w:rStyle w:val="SubtleEmphasis"/>
          <w:rFonts w:ascii="Garamond" w:hAnsi="Garamond"/>
          <w:i w:val="0"/>
          <w:iCs w:val="0"/>
          <w:color w:val="auto"/>
        </w:rPr>
        <w:t xml:space="preserve">attributes; 2) the number of features within each attribute; 3) the extent to which </w:t>
      </w:r>
      <w:r w:rsidR="0068216E" w:rsidRPr="00AE25FE">
        <w:rPr>
          <w:rStyle w:val="SubtleEmphasis"/>
          <w:rFonts w:ascii="Garamond" w:hAnsi="Garamond"/>
          <w:i w:val="0"/>
          <w:iCs w:val="0"/>
          <w:color w:val="auto"/>
        </w:rPr>
        <w:t xml:space="preserve">each feature of each attribute is </w:t>
      </w:r>
      <w:r w:rsidR="00507F52" w:rsidRPr="00AE25FE">
        <w:rPr>
          <w:rStyle w:val="SubtleEmphasis"/>
          <w:rFonts w:ascii="Garamond" w:hAnsi="Garamond"/>
          <w:i w:val="0"/>
          <w:iCs w:val="0"/>
          <w:color w:val="auto"/>
        </w:rPr>
        <w:t xml:space="preserve">actually </w:t>
      </w:r>
      <w:r w:rsidR="0068216E" w:rsidRPr="00AE25FE">
        <w:rPr>
          <w:rStyle w:val="SubtleEmphasis"/>
          <w:rFonts w:ascii="Garamond" w:hAnsi="Garamond"/>
          <w:i w:val="0"/>
          <w:iCs w:val="0"/>
          <w:color w:val="auto"/>
        </w:rPr>
        <w:t xml:space="preserve">used by </w:t>
      </w:r>
      <w:r w:rsidR="00507F52" w:rsidRPr="00AE25FE">
        <w:rPr>
          <w:rStyle w:val="SubtleEmphasis"/>
          <w:rFonts w:ascii="Garamond" w:hAnsi="Garamond"/>
          <w:i w:val="0"/>
          <w:iCs w:val="0"/>
          <w:color w:val="auto"/>
        </w:rPr>
        <w:t xml:space="preserve">health </w:t>
      </w:r>
      <w:r w:rsidR="0068216E" w:rsidRPr="00AE25FE">
        <w:rPr>
          <w:rStyle w:val="SubtleEmphasis"/>
          <w:rFonts w:ascii="Garamond" w:hAnsi="Garamond"/>
          <w:i w:val="0"/>
          <w:iCs w:val="0"/>
          <w:color w:val="auto"/>
        </w:rPr>
        <w:t xml:space="preserve">professionals at </w:t>
      </w:r>
      <w:r w:rsidR="00507F52" w:rsidRPr="00AE25FE">
        <w:rPr>
          <w:rStyle w:val="SubtleEmphasis"/>
          <w:rFonts w:ascii="Garamond" w:hAnsi="Garamond"/>
          <w:i w:val="0"/>
          <w:iCs w:val="0"/>
          <w:color w:val="auto"/>
        </w:rPr>
        <w:t xml:space="preserve">a provider </w:t>
      </w:r>
      <w:r w:rsidR="0068216E" w:rsidRPr="00AE25FE">
        <w:rPr>
          <w:rStyle w:val="SubtleEmphasis"/>
          <w:rFonts w:ascii="Garamond" w:hAnsi="Garamond"/>
          <w:i w:val="0"/>
          <w:iCs w:val="0"/>
          <w:color w:val="auto"/>
        </w:rPr>
        <w:t xml:space="preserve">location.  For </w:t>
      </w:r>
      <w:r w:rsidR="00C65C84" w:rsidRPr="00AE25FE">
        <w:rPr>
          <w:rStyle w:val="SubtleEmphasis"/>
          <w:rFonts w:ascii="Garamond" w:hAnsi="Garamond"/>
          <w:i w:val="0"/>
          <w:iCs w:val="0"/>
          <w:color w:val="auto"/>
        </w:rPr>
        <w:t>A</w:t>
      </w:r>
      <w:r w:rsidR="0068216E" w:rsidRPr="00AE25FE">
        <w:rPr>
          <w:rStyle w:val="SubtleEmphasis"/>
          <w:rFonts w:ascii="Garamond" w:hAnsi="Garamond"/>
          <w:i w:val="0"/>
          <w:iCs w:val="0"/>
          <w:color w:val="auto"/>
        </w:rPr>
        <w:t xml:space="preserve">ttribute 1, </w:t>
      </w:r>
      <w:r w:rsidR="00C65C84" w:rsidRPr="00AE25FE">
        <w:rPr>
          <w:rStyle w:val="SubtleEmphasis"/>
          <w:rFonts w:ascii="Garamond" w:hAnsi="Garamond"/>
          <w:i w:val="0"/>
          <w:iCs w:val="0"/>
          <w:color w:val="auto"/>
        </w:rPr>
        <w:t>S</w:t>
      </w:r>
      <w:r w:rsidR="0068216E" w:rsidRPr="00AE25FE">
        <w:rPr>
          <w:rStyle w:val="SubtleEmphasis"/>
          <w:rFonts w:ascii="Garamond" w:hAnsi="Garamond"/>
          <w:i w:val="0"/>
          <w:iCs w:val="0"/>
          <w:color w:val="auto"/>
        </w:rPr>
        <w:t xml:space="preserve">tage L means that </w:t>
      </w:r>
      <w:r w:rsidR="0068216E" w:rsidRPr="00AE25FE">
        <w:rPr>
          <w:rStyle w:val="SubtleEmphasis"/>
          <w:rFonts w:ascii="Garamond" w:hAnsi="Garamond"/>
          <w:iCs w:val="0"/>
          <w:color w:val="auto"/>
        </w:rPr>
        <w:t xml:space="preserve">all </w:t>
      </w:r>
      <w:r w:rsidR="0068216E" w:rsidRPr="00AE25FE">
        <w:rPr>
          <w:rStyle w:val="SubtleEmphasis"/>
          <w:rFonts w:ascii="Garamond" w:hAnsi="Garamond"/>
          <w:i w:val="0"/>
          <w:iCs w:val="0"/>
          <w:color w:val="auto"/>
        </w:rPr>
        <w:t>professions actively use electronic data for managing</w:t>
      </w:r>
      <w:r w:rsidR="0068216E" w:rsidRPr="00AE25FE">
        <w:rPr>
          <w:rStyle w:val="SubtleEmphasis"/>
          <w:rFonts w:ascii="Garamond" w:hAnsi="Garamond"/>
          <w:iCs w:val="0"/>
          <w:color w:val="auto"/>
        </w:rPr>
        <w:t xml:space="preserve"> all</w:t>
      </w:r>
      <w:r w:rsidR="0068216E" w:rsidRPr="00AE25FE">
        <w:rPr>
          <w:rStyle w:val="SubtleEmphasis"/>
          <w:rFonts w:ascii="Garamond" w:hAnsi="Garamond"/>
          <w:i w:val="0"/>
          <w:iCs w:val="0"/>
          <w:color w:val="auto"/>
        </w:rPr>
        <w:t xml:space="preserve"> feature</w:t>
      </w:r>
      <w:r w:rsidR="00507F52" w:rsidRPr="00AE25FE">
        <w:rPr>
          <w:rStyle w:val="SubtleEmphasis"/>
          <w:rFonts w:ascii="Garamond" w:hAnsi="Garamond"/>
          <w:i w:val="0"/>
          <w:iCs w:val="0"/>
          <w:color w:val="auto"/>
        </w:rPr>
        <w:t>s.</w:t>
      </w:r>
      <w:r w:rsidR="0068216E" w:rsidRPr="00AE25FE">
        <w:rPr>
          <w:rStyle w:val="SubtleEmphasis"/>
          <w:rFonts w:ascii="Garamond" w:hAnsi="Garamond"/>
          <w:i w:val="0"/>
          <w:iCs w:val="0"/>
          <w:color w:val="auto"/>
        </w:rPr>
        <w:t xml:space="preserve"> The actual implementation level </w:t>
      </w:r>
      <w:r w:rsidR="00FA78A6" w:rsidRPr="00AE25FE">
        <w:rPr>
          <w:rStyle w:val="SubtleEmphasis"/>
          <w:rFonts w:ascii="Garamond" w:hAnsi="Garamond"/>
          <w:i w:val="0"/>
          <w:iCs w:val="0"/>
          <w:color w:val="auto"/>
        </w:rPr>
        <w:t xml:space="preserve">of </w:t>
      </w:r>
      <w:r w:rsidR="0068216E" w:rsidRPr="00AE25FE">
        <w:rPr>
          <w:rStyle w:val="SubtleEmphasis"/>
          <w:rFonts w:ascii="Garamond" w:hAnsi="Garamond"/>
          <w:i w:val="0"/>
          <w:iCs w:val="0"/>
          <w:color w:val="auto"/>
        </w:rPr>
        <w:t xml:space="preserve">a provider is a function of adoption by each of the professionals within the health provider setting.  </w:t>
      </w:r>
    </w:p>
    <w:p w:rsidR="00504B64" w:rsidRPr="00AE25FE" w:rsidRDefault="00504B64" w:rsidP="00B1120D">
      <w:pPr>
        <w:rPr>
          <w:rStyle w:val="SubtleEmphasis"/>
          <w:rFonts w:ascii="Garamond" w:hAnsi="Garamond"/>
          <w:i w:val="0"/>
          <w:iCs w:val="0"/>
          <w:color w:val="auto"/>
        </w:rPr>
      </w:pPr>
    </w:p>
    <w:p w:rsidR="00CC3D1B" w:rsidRPr="00AE25FE" w:rsidRDefault="00CC3D1B" w:rsidP="00C233C7">
      <w:pPr>
        <w:rPr>
          <w:rFonts w:ascii="Garamond" w:hAnsi="Garamond"/>
        </w:rPr>
      </w:pPr>
      <w:r w:rsidRPr="00AE25FE">
        <w:rPr>
          <w:rFonts w:ascii="Garamond" w:hAnsi="Garamond"/>
        </w:rPr>
        <w:t xml:space="preserve">Table 2 presents one </w:t>
      </w:r>
      <w:r w:rsidR="0068216E" w:rsidRPr="00AE25FE">
        <w:rPr>
          <w:rFonts w:ascii="Garamond" w:hAnsi="Garamond"/>
        </w:rPr>
        <w:t xml:space="preserve">possible </w:t>
      </w:r>
      <w:r w:rsidRPr="00AE25FE">
        <w:rPr>
          <w:rFonts w:ascii="Garamond" w:hAnsi="Garamond"/>
        </w:rPr>
        <w:t xml:space="preserve">adaption of the </w:t>
      </w:r>
      <w:r w:rsidR="0068216E" w:rsidRPr="00AE25FE">
        <w:rPr>
          <w:rFonts w:ascii="Garamond" w:hAnsi="Garamond"/>
        </w:rPr>
        <w:t xml:space="preserve">generic construct presented </w:t>
      </w:r>
      <w:r w:rsidRPr="00AE25FE">
        <w:rPr>
          <w:rFonts w:ascii="Garamond" w:hAnsi="Garamond"/>
        </w:rPr>
        <w:t xml:space="preserve">in Table 1. Within each attribute, it is possible to have </w:t>
      </w:r>
      <w:r w:rsidR="00507F52" w:rsidRPr="00AE25FE">
        <w:rPr>
          <w:rFonts w:ascii="Garamond" w:hAnsi="Garamond"/>
        </w:rPr>
        <w:t>feature</w:t>
      </w:r>
      <w:r w:rsidRPr="00AE25FE">
        <w:rPr>
          <w:rFonts w:ascii="Garamond" w:hAnsi="Garamond"/>
        </w:rPr>
        <w:t>s</w:t>
      </w:r>
      <w:r w:rsidR="00FA78A6" w:rsidRPr="00AE25FE">
        <w:rPr>
          <w:rFonts w:ascii="Garamond" w:hAnsi="Garamond"/>
        </w:rPr>
        <w:t>,</w:t>
      </w:r>
      <w:r w:rsidRPr="00AE25FE">
        <w:rPr>
          <w:rFonts w:ascii="Garamond" w:hAnsi="Garamond"/>
        </w:rPr>
        <w:t xml:space="preserve"> or levels</w:t>
      </w:r>
      <w:r w:rsidR="00FA78A6" w:rsidRPr="00AE25FE">
        <w:rPr>
          <w:rFonts w:ascii="Garamond" w:hAnsi="Garamond"/>
        </w:rPr>
        <w:t>,</w:t>
      </w:r>
      <w:r w:rsidRPr="00AE25FE">
        <w:rPr>
          <w:rFonts w:ascii="Garamond" w:hAnsi="Garamond"/>
        </w:rPr>
        <w:t xml:space="preserve"> of implementation that some authors appear to identify as the maturity of the EMR system.  </w:t>
      </w:r>
      <w:r w:rsidR="00FC6CAB" w:rsidRPr="00AE25FE">
        <w:rPr>
          <w:rFonts w:ascii="Garamond" w:hAnsi="Garamond"/>
        </w:rPr>
        <w:t>Here</w:t>
      </w:r>
      <w:r w:rsidR="00FA78A6" w:rsidRPr="00AE25FE">
        <w:rPr>
          <w:rFonts w:ascii="Garamond" w:hAnsi="Garamond"/>
        </w:rPr>
        <w:t>,</w:t>
      </w:r>
      <w:r w:rsidR="00FC6CAB" w:rsidRPr="00AE25FE">
        <w:rPr>
          <w:rFonts w:ascii="Garamond" w:hAnsi="Garamond"/>
        </w:rPr>
        <w:t xml:space="preserve"> the maturity of the implementation depends on the number of attributes available within the</w:t>
      </w:r>
      <w:r w:rsidR="00504B64" w:rsidRPr="00AE25FE">
        <w:rPr>
          <w:rFonts w:ascii="Garamond" w:hAnsi="Garamond"/>
        </w:rPr>
        <w:t xml:space="preserve"> </w:t>
      </w:r>
      <w:r w:rsidR="00FC6CAB" w:rsidRPr="00AE25FE">
        <w:rPr>
          <w:rFonts w:ascii="Garamond" w:hAnsi="Garamond"/>
        </w:rPr>
        <w:t>system</w:t>
      </w:r>
      <w:r w:rsidR="00243040" w:rsidRPr="00AE25FE">
        <w:rPr>
          <w:rFonts w:ascii="Garamond" w:hAnsi="Garamond"/>
        </w:rPr>
        <w:t xml:space="preserve">.  Under </w:t>
      </w:r>
      <w:r w:rsidR="00432F7F" w:rsidRPr="00AE25FE">
        <w:rPr>
          <w:rFonts w:ascii="Garamond" w:hAnsi="Garamond"/>
        </w:rPr>
        <w:t>A</w:t>
      </w:r>
      <w:r w:rsidR="00243040" w:rsidRPr="00AE25FE">
        <w:rPr>
          <w:rFonts w:ascii="Garamond" w:hAnsi="Garamond"/>
        </w:rPr>
        <w:t>ttribute 1, patient information comprises up to five feature</w:t>
      </w:r>
      <w:r w:rsidR="00432F7F" w:rsidRPr="00AE25FE">
        <w:rPr>
          <w:rFonts w:ascii="Garamond" w:hAnsi="Garamond"/>
        </w:rPr>
        <w:t>s</w:t>
      </w:r>
      <w:r w:rsidR="00243040" w:rsidRPr="00AE25FE">
        <w:rPr>
          <w:rFonts w:ascii="Garamond" w:hAnsi="Garamond"/>
        </w:rPr>
        <w:t>, each representing a class of information.  Stage L reflect</w:t>
      </w:r>
      <w:r w:rsidR="00432F7F" w:rsidRPr="00AE25FE">
        <w:rPr>
          <w:rFonts w:ascii="Garamond" w:hAnsi="Garamond"/>
        </w:rPr>
        <w:t>s</w:t>
      </w:r>
      <w:r w:rsidR="00243040" w:rsidRPr="00AE25FE">
        <w:rPr>
          <w:rFonts w:ascii="Garamond" w:hAnsi="Garamond"/>
        </w:rPr>
        <w:t xml:space="preserve"> a scenario when all professionals at a specific location actively use the HIT system to enter and access patient information for all features</w:t>
      </w:r>
      <w:r w:rsidR="00432F7F" w:rsidRPr="00AE25FE">
        <w:rPr>
          <w:rFonts w:ascii="Garamond" w:hAnsi="Garamond"/>
        </w:rPr>
        <w:t>.</w:t>
      </w:r>
    </w:p>
    <w:p w:rsidR="00CC3D1B" w:rsidRPr="00AE25FE" w:rsidRDefault="00CC3D1B" w:rsidP="00C233C7">
      <w:pPr>
        <w:rPr>
          <w:rFonts w:ascii="Garamond" w:hAnsi="Garamond"/>
        </w:rPr>
      </w:pPr>
    </w:p>
    <w:tbl>
      <w:tblPr>
        <w:tblW w:w="9952" w:type="dxa"/>
        <w:jc w:val="center"/>
        <w:tblInd w:w="245" w:type="dxa"/>
        <w:tblLayout w:type="fixed"/>
        <w:tblLook w:val="0000" w:firstRow="0" w:lastRow="0" w:firstColumn="0" w:lastColumn="0" w:noHBand="0" w:noVBand="0"/>
      </w:tblPr>
      <w:tblGrid>
        <w:gridCol w:w="2213"/>
        <w:gridCol w:w="2191"/>
        <w:gridCol w:w="2610"/>
        <w:gridCol w:w="2938"/>
      </w:tblGrid>
      <w:tr w:rsidR="00CC3D1B" w:rsidRPr="00AE25FE" w:rsidTr="001A78B0">
        <w:trPr>
          <w:cantSplit/>
          <w:trHeight w:val="260"/>
          <w:tblHeader/>
          <w:jc w:val="center"/>
        </w:trPr>
        <w:tc>
          <w:tcPr>
            <w:tcW w:w="9952" w:type="dxa"/>
            <w:gridSpan w:val="4"/>
            <w:tcBorders>
              <w:top w:val="single" w:sz="4" w:space="0" w:color="auto"/>
              <w:left w:val="single" w:sz="4" w:space="0" w:color="auto"/>
              <w:bottom w:val="single" w:sz="4" w:space="0" w:color="auto"/>
              <w:right w:val="single" w:sz="4" w:space="0" w:color="auto"/>
            </w:tcBorders>
            <w:shd w:val="clear" w:color="auto" w:fill="D9D9D9"/>
          </w:tcPr>
          <w:p w:rsidR="00CC3D1B" w:rsidRPr="00AE25FE" w:rsidRDefault="00CC3D1B" w:rsidP="00F75F9C">
            <w:pPr>
              <w:pStyle w:val="Bullet"/>
              <w:numPr>
                <w:ilvl w:val="0"/>
                <w:numId w:val="0"/>
              </w:numPr>
              <w:rPr>
                <w:rStyle w:val="SubtleEmphasis"/>
                <w:rFonts w:ascii="Garamond" w:hAnsi="Garamond"/>
                <w:i w:val="0"/>
                <w:iCs w:val="0"/>
                <w:color w:val="auto"/>
              </w:rPr>
            </w:pPr>
            <w:bookmarkStart w:id="5" w:name="_Ref301810768"/>
            <w:r w:rsidRPr="00AE25FE">
              <w:rPr>
                <w:rFonts w:ascii="Garamond" w:hAnsi="Garamond"/>
                <w:b/>
                <w:sz w:val="22"/>
                <w:szCs w:val="22"/>
              </w:rPr>
              <w:lastRenderedPageBreak/>
              <w:t>Table 2</w:t>
            </w:r>
            <w:bookmarkEnd w:id="5"/>
            <w:r w:rsidRPr="00AE25FE">
              <w:rPr>
                <w:rFonts w:ascii="Garamond" w:hAnsi="Garamond"/>
                <w:b/>
                <w:sz w:val="22"/>
                <w:szCs w:val="22"/>
              </w:rPr>
              <w:t>: High-level EMR attributes and benefits inventory (within single delivery clinic)*</w:t>
            </w:r>
          </w:p>
        </w:tc>
      </w:tr>
      <w:tr w:rsidR="00FC6CAB" w:rsidRPr="00AE25FE" w:rsidTr="001A78B0">
        <w:trPr>
          <w:cantSplit/>
          <w:tblHeader/>
          <w:jc w:val="center"/>
        </w:trPr>
        <w:tc>
          <w:tcPr>
            <w:tcW w:w="2213" w:type="dxa"/>
            <w:vMerge w:val="restart"/>
            <w:tcBorders>
              <w:top w:val="single" w:sz="4" w:space="0" w:color="auto"/>
              <w:left w:val="single" w:sz="4" w:space="0" w:color="auto"/>
              <w:right w:val="single" w:sz="4" w:space="0" w:color="auto"/>
            </w:tcBorders>
            <w:vAlign w:val="center"/>
          </w:tcPr>
          <w:p w:rsidR="00FC6CAB" w:rsidRPr="00AE25FE" w:rsidRDefault="00FC6CAB" w:rsidP="00922BE5">
            <w:pPr>
              <w:jc w:val="center"/>
              <w:rPr>
                <w:rStyle w:val="SubtleEmphasis"/>
                <w:rFonts w:ascii="Garamond" w:hAnsi="Garamond"/>
                <w:b/>
                <w:i w:val="0"/>
                <w:iCs w:val="0"/>
                <w:color w:val="auto"/>
              </w:rPr>
            </w:pPr>
            <w:r w:rsidRPr="00AE25FE">
              <w:rPr>
                <w:rStyle w:val="SubtleEmphasis"/>
                <w:rFonts w:ascii="Garamond" w:hAnsi="Garamond"/>
                <w:b/>
                <w:i w:val="0"/>
                <w:iCs w:val="0"/>
                <w:color w:val="auto"/>
                <w:sz w:val="22"/>
                <w:szCs w:val="22"/>
              </w:rPr>
              <w:t>Attribute</w:t>
            </w:r>
          </w:p>
        </w:tc>
        <w:tc>
          <w:tcPr>
            <w:tcW w:w="7739" w:type="dxa"/>
            <w:gridSpan w:val="3"/>
            <w:tcBorders>
              <w:top w:val="single" w:sz="4" w:space="0" w:color="auto"/>
              <w:left w:val="single" w:sz="4" w:space="0" w:color="auto"/>
              <w:bottom w:val="single" w:sz="4" w:space="0" w:color="auto"/>
              <w:right w:val="single" w:sz="4" w:space="0" w:color="auto"/>
            </w:tcBorders>
            <w:vAlign w:val="center"/>
          </w:tcPr>
          <w:p w:rsidR="00FC6CAB" w:rsidRPr="00AE25FE" w:rsidRDefault="00FC6CAB" w:rsidP="00FC6CAB">
            <w:pPr>
              <w:jc w:val="center"/>
              <w:rPr>
                <w:rStyle w:val="SubtleEmphasis"/>
                <w:rFonts w:ascii="Garamond" w:hAnsi="Garamond"/>
                <w:b/>
                <w:i w:val="0"/>
                <w:iCs w:val="0"/>
                <w:color w:val="auto"/>
              </w:rPr>
            </w:pPr>
            <w:r w:rsidRPr="00AE25FE">
              <w:rPr>
                <w:rStyle w:val="SubtleEmphasis"/>
                <w:rFonts w:ascii="Garamond" w:hAnsi="Garamond"/>
                <w:b/>
                <w:i w:val="0"/>
                <w:iCs w:val="0"/>
                <w:color w:val="auto"/>
              </w:rPr>
              <w:t>Stage of implementation</w:t>
            </w:r>
          </w:p>
        </w:tc>
      </w:tr>
      <w:tr w:rsidR="00FC6CAB" w:rsidRPr="00AE25FE" w:rsidTr="001A78B0">
        <w:trPr>
          <w:jc w:val="center"/>
        </w:trPr>
        <w:tc>
          <w:tcPr>
            <w:tcW w:w="2213" w:type="dxa"/>
            <w:vMerge/>
            <w:tcBorders>
              <w:left w:val="single" w:sz="4" w:space="0" w:color="auto"/>
              <w:bottom w:val="single" w:sz="4" w:space="0" w:color="auto"/>
              <w:right w:val="single" w:sz="4" w:space="0" w:color="auto"/>
            </w:tcBorders>
          </w:tcPr>
          <w:p w:rsidR="00FC6CAB" w:rsidRPr="00AE25FE" w:rsidRDefault="00FC6CAB" w:rsidP="00A31970">
            <w:pPr>
              <w:pStyle w:val="ListParagraph"/>
              <w:ind w:left="0"/>
              <w:rPr>
                <w:rStyle w:val="SubtleEmphasis"/>
                <w:rFonts w:ascii="Garamond" w:hAnsi="Garamond"/>
                <w:i w:val="0"/>
                <w:iCs w:val="0"/>
                <w:color w:val="auto"/>
              </w:rPr>
            </w:pPr>
          </w:p>
        </w:tc>
        <w:tc>
          <w:tcPr>
            <w:tcW w:w="2191" w:type="dxa"/>
            <w:tcBorders>
              <w:top w:val="single" w:sz="4" w:space="0" w:color="auto"/>
              <w:left w:val="single" w:sz="4" w:space="0" w:color="auto"/>
              <w:bottom w:val="single" w:sz="4" w:space="0" w:color="auto"/>
            </w:tcBorders>
          </w:tcPr>
          <w:p w:rsidR="00FC6CAB" w:rsidRPr="00AE25FE" w:rsidRDefault="00FC6CAB" w:rsidP="00FC6CAB">
            <w:pPr>
              <w:pStyle w:val="ListParagraph"/>
              <w:rPr>
                <w:rStyle w:val="SubtleEmphasis"/>
                <w:rFonts w:ascii="Garamond" w:hAnsi="Garamond"/>
                <w:b/>
                <w:i w:val="0"/>
                <w:iCs w:val="0"/>
                <w:color w:val="auto"/>
              </w:rPr>
            </w:pPr>
            <w:r w:rsidRPr="00AE25FE">
              <w:rPr>
                <w:rStyle w:val="SubtleEmphasis"/>
                <w:rFonts w:ascii="Garamond" w:hAnsi="Garamond"/>
                <w:b/>
                <w:i w:val="0"/>
                <w:iCs w:val="0"/>
                <w:color w:val="auto"/>
                <w:sz w:val="22"/>
                <w:szCs w:val="22"/>
              </w:rPr>
              <w:t>1</w:t>
            </w:r>
          </w:p>
        </w:tc>
        <w:tc>
          <w:tcPr>
            <w:tcW w:w="2610" w:type="dxa"/>
            <w:tcBorders>
              <w:top w:val="single" w:sz="4" w:space="0" w:color="auto"/>
              <w:bottom w:val="single" w:sz="4" w:space="0" w:color="auto"/>
            </w:tcBorders>
          </w:tcPr>
          <w:p w:rsidR="00FC6CAB" w:rsidRPr="00AE25FE" w:rsidRDefault="00FC6CAB" w:rsidP="00AE25FE">
            <w:pPr>
              <w:pStyle w:val="ListParagraph"/>
              <w:ind w:left="972"/>
              <w:rPr>
                <w:rStyle w:val="SubtleEmphasis"/>
                <w:rFonts w:ascii="Garamond" w:hAnsi="Garamond"/>
                <w:b/>
                <w:i w:val="0"/>
                <w:iCs w:val="0"/>
                <w:color w:val="auto"/>
              </w:rPr>
            </w:pPr>
            <w:r w:rsidRPr="00AE25FE">
              <w:rPr>
                <w:rStyle w:val="SubtleEmphasis"/>
                <w:rFonts w:ascii="Garamond" w:hAnsi="Garamond"/>
                <w:b/>
                <w:i w:val="0"/>
                <w:iCs w:val="0"/>
                <w:color w:val="auto"/>
                <w:sz w:val="22"/>
                <w:szCs w:val="22"/>
              </w:rPr>
              <w:t>2</w:t>
            </w:r>
          </w:p>
        </w:tc>
        <w:tc>
          <w:tcPr>
            <w:tcW w:w="2938" w:type="dxa"/>
            <w:tcBorders>
              <w:top w:val="single" w:sz="4" w:space="0" w:color="auto"/>
              <w:bottom w:val="single" w:sz="4" w:space="0" w:color="auto"/>
              <w:right w:val="single" w:sz="4" w:space="0" w:color="auto"/>
            </w:tcBorders>
          </w:tcPr>
          <w:p w:rsidR="00FC6CAB" w:rsidRPr="00AE25FE" w:rsidRDefault="00FC6CAB" w:rsidP="00FC6CAB">
            <w:pPr>
              <w:pStyle w:val="ListParagraph"/>
              <w:rPr>
                <w:rStyle w:val="SubtleEmphasis"/>
                <w:rFonts w:ascii="Garamond" w:hAnsi="Garamond"/>
                <w:b/>
                <w:i w:val="0"/>
                <w:iCs w:val="0"/>
                <w:color w:val="auto"/>
              </w:rPr>
            </w:pPr>
            <w:r w:rsidRPr="00AE25FE">
              <w:rPr>
                <w:rStyle w:val="SubtleEmphasis"/>
                <w:rFonts w:ascii="Garamond" w:hAnsi="Garamond"/>
                <w:b/>
                <w:i w:val="0"/>
                <w:iCs w:val="0"/>
                <w:color w:val="auto"/>
                <w:sz w:val="22"/>
                <w:szCs w:val="22"/>
              </w:rPr>
              <w:t>L</w:t>
            </w:r>
          </w:p>
        </w:tc>
      </w:tr>
      <w:tr w:rsidR="001A78B0" w:rsidRPr="00AE25FE" w:rsidTr="001A78B0">
        <w:trPr>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Patient information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patient demographics</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patient demographics</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medical/surgical history</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patient demographics</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medical/surgical history</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allergy record </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family history </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genetic tests</w:t>
            </w:r>
          </w:p>
        </w:tc>
      </w:tr>
      <w:tr w:rsidR="001A78B0" w:rsidRPr="00AE25FE" w:rsidTr="001A78B0">
        <w:trPr>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Lab management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ordering tests/</w:t>
            </w:r>
            <w:r>
              <w:rPr>
                <w:rStyle w:val="SubtleEmphasis"/>
                <w:rFonts w:ascii="Garamond" w:hAnsi="Garamond"/>
                <w:i w:val="0"/>
                <w:iCs w:val="0"/>
                <w:color w:val="auto"/>
                <w:sz w:val="22"/>
                <w:szCs w:val="22"/>
              </w:rPr>
              <w:t xml:space="preserve"> </w:t>
            </w:r>
            <w:r w:rsidRPr="00AE25FE">
              <w:rPr>
                <w:rStyle w:val="SubtleEmphasis"/>
                <w:rFonts w:ascii="Garamond" w:hAnsi="Garamond"/>
                <w:i w:val="0"/>
                <w:iCs w:val="0"/>
                <w:color w:val="auto"/>
                <w:sz w:val="22"/>
                <w:szCs w:val="22"/>
              </w:rPr>
              <w:t>diagnostic images</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ordering tests</w:t>
            </w:r>
            <w:r>
              <w:rPr>
                <w:rStyle w:val="SubtleEmphasis"/>
                <w:rFonts w:ascii="Garamond" w:hAnsi="Garamond"/>
                <w:i w:val="0"/>
                <w:iCs w:val="0"/>
                <w:color w:val="auto"/>
                <w:sz w:val="22"/>
                <w:szCs w:val="22"/>
              </w:rPr>
              <w:t>/</w:t>
            </w:r>
            <w:r w:rsidRPr="00AE25FE">
              <w:rPr>
                <w:rStyle w:val="SubtleEmphasis"/>
                <w:rFonts w:ascii="Garamond" w:hAnsi="Garamond"/>
                <w:i w:val="0"/>
                <w:iCs w:val="0"/>
                <w:color w:val="auto"/>
                <w:sz w:val="22"/>
                <w:szCs w:val="22"/>
              </w:rPr>
              <w:t>diagnostic images</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receiving results</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ordering tests/diagnostic images</w:t>
            </w:r>
          </w:p>
          <w:p w:rsidR="001A78B0" w:rsidRPr="00AE25FE" w:rsidRDefault="001A78B0" w:rsidP="00AE25FE">
            <w:pPr>
              <w:pStyle w:val="ListParagraph"/>
              <w:numPr>
                <w:ilvl w:val="0"/>
                <w:numId w:val="8"/>
              </w:numPr>
              <w:ind w:left="253" w:hanging="271"/>
              <w:rPr>
                <w:rStyle w:val="SubtleEmphasis"/>
                <w:rFonts w:ascii="Garamond" w:hAnsi="Garamond"/>
                <w:color w:val="auto"/>
              </w:rPr>
            </w:pPr>
            <w:r w:rsidRPr="00AE25FE">
              <w:rPr>
                <w:rStyle w:val="SubtleEmphasis"/>
                <w:rFonts w:ascii="Garamond" w:hAnsi="Garamond"/>
                <w:i w:val="0"/>
                <w:iCs w:val="0"/>
                <w:color w:val="auto"/>
                <w:sz w:val="22"/>
                <w:szCs w:val="22"/>
              </w:rPr>
              <w:t xml:space="preserve">receiving results </w:t>
            </w:r>
          </w:p>
          <w:p w:rsidR="001A78B0" w:rsidRPr="00AE25FE" w:rsidRDefault="001A78B0" w:rsidP="00AE25FE">
            <w:pPr>
              <w:pStyle w:val="ListParagraph"/>
              <w:numPr>
                <w:ilvl w:val="0"/>
                <w:numId w:val="8"/>
              </w:numPr>
              <w:ind w:left="253" w:hanging="271"/>
              <w:rPr>
                <w:rStyle w:val="SubtleEmphasis"/>
                <w:rFonts w:ascii="Garamond" w:hAnsi="Garamond"/>
                <w:color w:val="auto"/>
              </w:rPr>
            </w:pPr>
            <w:r w:rsidRPr="00AE25FE">
              <w:rPr>
                <w:rStyle w:val="SubtleEmphasis"/>
                <w:rFonts w:ascii="Garamond" w:hAnsi="Garamond"/>
                <w:i w:val="0"/>
                <w:iCs w:val="0"/>
                <w:color w:val="auto"/>
                <w:sz w:val="22"/>
                <w:szCs w:val="22"/>
              </w:rPr>
              <w:t>interpretation (AI)</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next tests</w:t>
            </w:r>
          </w:p>
          <w:p w:rsidR="001A78B0" w:rsidRPr="00AE25FE" w:rsidRDefault="001A78B0" w:rsidP="00AE25FE">
            <w:pPr>
              <w:pStyle w:val="ListParagraph"/>
              <w:numPr>
                <w:ilvl w:val="0"/>
                <w:numId w:val="8"/>
              </w:numPr>
              <w:ind w:left="253" w:hanging="271"/>
              <w:rPr>
                <w:rStyle w:val="SubtleEmphasis"/>
                <w:rFonts w:ascii="Garamond" w:hAnsi="Garamond"/>
                <w:color w:val="auto"/>
              </w:rPr>
            </w:pPr>
            <w:r w:rsidRPr="00AE25FE">
              <w:rPr>
                <w:rStyle w:val="SubtleEmphasis"/>
                <w:rFonts w:ascii="Garamond" w:hAnsi="Garamond"/>
                <w:i w:val="0"/>
                <w:iCs w:val="0"/>
                <w:color w:val="auto"/>
                <w:sz w:val="22"/>
                <w:szCs w:val="22"/>
              </w:rPr>
              <w:t>diagnosis</w:t>
            </w:r>
          </w:p>
        </w:tc>
      </w:tr>
      <w:tr w:rsidR="001A78B0" w:rsidRPr="00AE25FE" w:rsidTr="001A78B0">
        <w:trPr>
          <w:trHeight w:val="710"/>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Pharmaceutical management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Prescribing</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prescribing</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renewals</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prescribing</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renewals</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interaction assessment</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cost control</w:t>
            </w:r>
          </w:p>
        </w:tc>
      </w:tr>
      <w:tr w:rsidR="001A78B0" w:rsidRPr="00AE25FE" w:rsidTr="001A78B0">
        <w:trPr>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Decision support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screening scheduling</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screening (based on patient demographics)</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chronic care testing monitoring</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screening (based on patient demographics and family history)</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chronic care testing monitoring</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medical management across classes of patients</w:t>
            </w:r>
          </w:p>
        </w:tc>
      </w:tr>
      <w:tr w:rsidR="001A78B0" w:rsidRPr="00AE25FE" w:rsidTr="001A78B0">
        <w:trPr>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Patient engagement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information sharing</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education </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information sharing</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education</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motivation </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information sharing </w:t>
            </w:r>
          </w:p>
        </w:tc>
      </w:tr>
      <w:tr w:rsidR="001A78B0" w:rsidRPr="00AE25FE" w:rsidTr="001A78B0">
        <w:trPr>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Administration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scheduling (online)</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scheduling (online)</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 billing</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scheduling (online)</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 billing</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referrals</w:t>
            </w:r>
          </w:p>
        </w:tc>
      </w:tr>
      <w:tr w:rsidR="001A78B0" w:rsidRPr="00AE25FE" w:rsidTr="001A78B0">
        <w:trPr>
          <w:jc w:val="center"/>
        </w:trPr>
        <w:tc>
          <w:tcPr>
            <w:tcW w:w="2213" w:type="dxa"/>
            <w:tcBorders>
              <w:top w:val="single" w:sz="4" w:space="0" w:color="auto"/>
              <w:left w:val="single" w:sz="4" w:space="0" w:color="auto"/>
              <w:bottom w:val="single" w:sz="4" w:space="0" w:color="auto"/>
              <w:right w:val="single" w:sz="4" w:space="0" w:color="auto"/>
            </w:tcBorders>
          </w:tcPr>
          <w:p w:rsidR="001A78B0" w:rsidRPr="00AE25FE" w:rsidRDefault="001A78B0" w:rsidP="001A78B0">
            <w:pPr>
              <w:pStyle w:val="ListParagraph"/>
              <w:numPr>
                <w:ilvl w:val="0"/>
                <w:numId w:val="7"/>
              </w:numPr>
              <w:ind w:left="357" w:hanging="357"/>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Practice management </w:t>
            </w:r>
          </w:p>
        </w:tc>
        <w:tc>
          <w:tcPr>
            <w:tcW w:w="2191" w:type="dxa"/>
            <w:tcBorders>
              <w:top w:val="single" w:sz="4" w:space="0" w:color="auto"/>
              <w:left w:val="single" w:sz="4" w:space="0" w:color="auto"/>
              <w:bottom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patient wait time optimization</w:t>
            </w:r>
          </w:p>
        </w:tc>
        <w:tc>
          <w:tcPr>
            <w:tcW w:w="2610" w:type="dxa"/>
            <w:tcBorders>
              <w:top w:val="single" w:sz="4" w:space="0" w:color="auto"/>
              <w:left w:val="single" w:sz="4" w:space="0" w:color="auto"/>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patient wait times optimization  </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physician wait time optimization</w:t>
            </w:r>
          </w:p>
          <w:p w:rsidR="001A78B0" w:rsidRPr="00AE25FE" w:rsidRDefault="001A78B0" w:rsidP="001A78B0">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evaluation of individual and team performance</w:t>
            </w:r>
          </w:p>
        </w:tc>
        <w:tc>
          <w:tcPr>
            <w:tcW w:w="2938" w:type="dxa"/>
            <w:tcBorders>
              <w:top w:val="single" w:sz="4" w:space="0" w:color="auto"/>
              <w:left w:val="nil"/>
              <w:bottom w:val="single" w:sz="4" w:space="0" w:color="auto"/>
              <w:right w:val="single" w:sz="4" w:space="0" w:color="auto"/>
            </w:tcBorders>
          </w:tcPr>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patient wait times</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physician wait time optimization</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evaluation of individual and team performance </w:t>
            </w:r>
          </w:p>
          <w:p w:rsidR="001A78B0" w:rsidRPr="00AE25FE" w:rsidRDefault="001A78B0" w:rsidP="00AE25FE">
            <w:pPr>
              <w:pStyle w:val="ListParagraph"/>
              <w:numPr>
                <w:ilvl w:val="0"/>
                <w:numId w:val="8"/>
              </w:numPr>
              <w:ind w:left="253" w:hanging="271"/>
              <w:rPr>
                <w:rStyle w:val="SubtleEmphasis"/>
                <w:rFonts w:ascii="Garamond" w:hAnsi="Garamond"/>
                <w:i w:val="0"/>
                <w:iCs w:val="0"/>
                <w:color w:val="auto"/>
              </w:rPr>
            </w:pPr>
            <w:r w:rsidRPr="00AE25FE">
              <w:rPr>
                <w:rStyle w:val="SubtleEmphasis"/>
                <w:rFonts w:ascii="Garamond" w:hAnsi="Garamond"/>
                <w:i w:val="0"/>
                <w:iCs w:val="0"/>
                <w:color w:val="auto"/>
                <w:sz w:val="22"/>
                <w:szCs w:val="22"/>
              </w:rPr>
              <w:t xml:space="preserve"> use of collected data for research</w:t>
            </w:r>
          </w:p>
        </w:tc>
      </w:tr>
      <w:tr w:rsidR="00CC3D1B" w:rsidRPr="00AE25FE" w:rsidTr="001A78B0">
        <w:trPr>
          <w:jc w:val="center"/>
        </w:trPr>
        <w:tc>
          <w:tcPr>
            <w:tcW w:w="9952" w:type="dxa"/>
            <w:gridSpan w:val="4"/>
            <w:tcBorders>
              <w:top w:val="single" w:sz="4" w:space="0" w:color="auto"/>
              <w:left w:val="single" w:sz="4" w:space="0" w:color="auto"/>
              <w:bottom w:val="single" w:sz="4" w:space="0" w:color="auto"/>
              <w:right w:val="single" w:sz="4" w:space="0" w:color="auto"/>
            </w:tcBorders>
          </w:tcPr>
          <w:p w:rsidR="00CC3D1B" w:rsidRPr="00AE25FE" w:rsidRDefault="00CC3D1B" w:rsidP="00922BE5">
            <w:pPr>
              <w:rPr>
                <w:rStyle w:val="SubtleEmphasis"/>
                <w:rFonts w:ascii="Garamond" w:hAnsi="Garamond"/>
                <w:i w:val="0"/>
                <w:iCs w:val="0"/>
                <w:color w:val="auto"/>
              </w:rPr>
            </w:pPr>
            <w:r w:rsidRPr="00AE25FE">
              <w:rPr>
                <w:rStyle w:val="SubtleEmphasis"/>
                <w:rFonts w:ascii="Garamond" w:hAnsi="Garamond"/>
                <w:i w:val="0"/>
                <w:iCs w:val="0"/>
                <w:color w:val="auto"/>
                <w:sz w:val="22"/>
                <w:szCs w:val="22"/>
              </w:rPr>
              <w:t>*Adapted from Price, Lau, &amp; Lai (2010)</w:t>
            </w:r>
          </w:p>
        </w:tc>
      </w:tr>
    </w:tbl>
    <w:p w:rsidR="00243040" w:rsidRPr="00AE25FE" w:rsidRDefault="00243040" w:rsidP="00C233C7">
      <w:pPr>
        <w:rPr>
          <w:rStyle w:val="SubtleEmphasis"/>
          <w:rFonts w:ascii="Garamond" w:hAnsi="Garamond"/>
          <w:i w:val="0"/>
          <w:iCs w:val="0"/>
          <w:color w:val="auto"/>
        </w:rPr>
      </w:pPr>
    </w:p>
    <w:p w:rsidR="00CC3D1B" w:rsidRPr="00AE25FE" w:rsidRDefault="00E92C75" w:rsidP="00FF2BB8">
      <w:pPr>
        <w:rPr>
          <w:rStyle w:val="SubtleEmphasis"/>
          <w:rFonts w:ascii="Garamond" w:hAnsi="Garamond"/>
          <w:i w:val="0"/>
          <w:iCs w:val="0"/>
          <w:color w:val="auto"/>
        </w:rPr>
      </w:pPr>
      <w:r w:rsidRPr="00AE25FE">
        <w:rPr>
          <w:rStyle w:val="SubtleEmphasis"/>
          <w:rFonts w:ascii="Garamond" w:hAnsi="Garamond"/>
          <w:i w:val="0"/>
          <w:iCs w:val="0"/>
          <w:color w:val="auto"/>
        </w:rPr>
        <w:t>We use th</w:t>
      </w:r>
      <w:r w:rsidR="00E452C1" w:rsidRPr="00AE25FE">
        <w:rPr>
          <w:rStyle w:val="SubtleEmphasis"/>
          <w:rFonts w:ascii="Garamond" w:hAnsi="Garamond"/>
          <w:i w:val="0"/>
          <w:iCs w:val="0"/>
          <w:color w:val="auto"/>
        </w:rPr>
        <w:t>is</w:t>
      </w:r>
      <w:r w:rsidR="005076DB" w:rsidRPr="00AE25FE">
        <w:rPr>
          <w:rStyle w:val="SubtleEmphasis"/>
          <w:rFonts w:ascii="Garamond" w:hAnsi="Garamond"/>
          <w:i w:val="0"/>
          <w:iCs w:val="0"/>
          <w:color w:val="auto"/>
        </w:rPr>
        <w:t xml:space="preserve"> seven-</w:t>
      </w:r>
      <w:r w:rsidRPr="00AE25FE">
        <w:rPr>
          <w:rStyle w:val="SubtleEmphasis"/>
          <w:rFonts w:ascii="Garamond" w:hAnsi="Garamond"/>
          <w:i w:val="0"/>
          <w:iCs w:val="0"/>
          <w:color w:val="auto"/>
        </w:rPr>
        <w:t>attribute, multi-</w:t>
      </w:r>
      <w:r w:rsidR="00507F52" w:rsidRPr="00AE25FE">
        <w:rPr>
          <w:rStyle w:val="SubtleEmphasis"/>
          <w:rFonts w:ascii="Garamond" w:hAnsi="Garamond"/>
          <w:i w:val="0"/>
          <w:iCs w:val="0"/>
          <w:color w:val="auto"/>
        </w:rPr>
        <w:t>feature</w:t>
      </w:r>
      <w:r w:rsidR="00403960" w:rsidRPr="00AE25FE">
        <w:rPr>
          <w:rStyle w:val="SubtleEmphasis"/>
          <w:rFonts w:ascii="Garamond" w:hAnsi="Garamond"/>
          <w:i w:val="0"/>
          <w:iCs w:val="0"/>
          <w:color w:val="auto"/>
        </w:rPr>
        <w:t xml:space="preserve"> framework</w:t>
      </w:r>
      <w:r w:rsidRPr="00AE25FE">
        <w:rPr>
          <w:rStyle w:val="SubtleEmphasis"/>
          <w:rFonts w:ascii="Garamond" w:hAnsi="Garamond"/>
          <w:i w:val="0"/>
          <w:iCs w:val="0"/>
          <w:color w:val="auto"/>
        </w:rPr>
        <w:t xml:space="preserve"> </w:t>
      </w:r>
      <w:r w:rsidR="005076DB" w:rsidRPr="00AE25FE">
        <w:rPr>
          <w:rStyle w:val="SubtleEmphasis"/>
          <w:rFonts w:ascii="Garamond" w:hAnsi="Garamond"/>
          <w:i w:val="0"/>
          <w:iCs w:val="0"/>
          <w:color w:val="auto"/>
        </w:rPr>
        <w:t>(</w:t>
      </w:r>
      <w:r w:rsidRPr="00AE25FE">
        <w:rPr>
          <w:rStyle w:val="SubtleEmphasis"/>
          <w:rFonts w:ascii="Garamond" w:hAnsi="Garamond"/>
          <w:i w:val="0"/>
          <w:iCs w:val="0"/>
          <w:color w:val="auto"/>
        </w:rPr>
        <w:t>show</w:t>
      </w:r>
      <w:r w:rsidR="005076DB" w:rsidRPr="00AE25FE">
        <w:rPr>
          <w:rStyle w:val="SubtleEmphasis"/>
          <w:rFonts w:ascii="Garamond" w:hAnsi="Garamond"/>
          <w:i w:val="0"/>
          <w:iCs w:val="0"/>
          <w:color w:val="auto"/>
        </w:rPr>
        <w:t>n</w:t>
      </w:r>
      <w:r w:rsidRPr="00AE25FE">
        <w:rPr>
          <w:rStyle w:val="SubtleEmphasis"/>
          <w:rFonts w:ascii="Garamond" w:hAnsi="Garamond"/>
          <w:i w:val="0"/>
          <w:iCs w:val="0"/>
          <w:color w:val="auto"/>
        </w:rPr>
        <w:t xml:space="preserve"> in Table 2</w:t>
      </w:r>
      <w:r w:rsidR="005076DB"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as the basis for conceptualizing and </w:t>
      </w:r>
      <w:r w:rsidR="00CC3D1B" w:rsidRPr="00AE25FE">
        <w:rPr>
          <w:rStyle w:val="SubtleEmphasis"/>
          <w:rFonts w:ascii="Garamond" w:hAnsi="Garamond"/>
          <w:i w:val="0"/>
          <w:iCs w:val="0"/>
          <w:color w:val="auto"/>
        </w:rPr>
        <w:t>quantifying</w:t>
      </w:r>
      <w:r w:rsidR="005076DB" w:rsidRPr="00AE25FE">
        <w:rPr>
          <w:rStyle w:val="SubtleEmphasis"/>
          <w:rFonts w:ascii="Garamond" w:hAnsi="Garamond"/>
          <w:i w:val="0"/>
          <w:iCs w:val="0"/>
          <w:color w:val="auto"/>
        </w:rPr>
        <w:t xml:space="preserve"> HIT</w:t>
      </w:r>
      <w:r w:rsidR="00CC3D1B" w:rsidRPr="00AE25FE">
        <w:rPr>
          <w:rStyle w:val="SubtleEmphasis"/>
          <w:rFonts w:ascii="Garamond" w:hAnsi="Garamond"/>
          <w:i w:val="0"/>
          <w:iCs w:val="0"/>
          <w:color w:val="auto"/>
        </w:rPr>
        <w:t xml:space="preserve"> matur</w:t>
      </w:r>
      <w:r w:rsidRPr="00AE25FE">
        <w:rPr>
          <w:rStyle w:val="SubtleEmphasis"/>
          <w:rFonts w:ascii="Garamond" w:hAnsi="Garamond"/>
          <w:i w:val="0"/>
          <w:iCs w:val="0"/>
          <w:color w:val="auto"/>
        </w:rPr>
        <w:t>ity.</w:t>
      </w:r>
    </w:p>
    <w:p w:rsidR="00FF2BB8" w:rsidRPr="00AE25FE" w:rsidRDefault="00FF2BB8" w:rsidP="00FF2BB8">
      <w:pPr>
        <w:rPr>
          <w:rStyle w:val="SubtleEmphasis"/>
          <w:rFonts w:ascii="Garamond" w:hAnsi="Garamond"/>
          <w:i w:val="0"/>
          <w:iCs w:val="0"/>
          <w:color w:val="auto"/>
        </w:rPr>
      </w:pPr>
    </w:p>
    <w:p w:rsidR="00AE25FE" w:rsidRDefault="00AE25FE">
      <w:pPr>
        <w:rPr>
          <w:rStyle w:val="SubtleEmphasis"/>
          <w:rFonts w:ascii="Garamond" w:hAnsi="Garamond"/>
          <w:b/>
          <w:bCs/>
          <w:i w:val="0"/>
          <w:iCs w:val="0"/>
          <w:color w:val="auto"/>
          <w:szCs w:val="26"/>
        </w:rPr>
      </w:pPr>
      <w:bookmarkStart w:id="6" w:name="_Toc323718556"/>
      <w:r>
        <w:rPr>
          <w:rStyle w:val="SubtleEmphasis"/>
          <w:rFonts w:ascii="Garamond" w:hAnsi="Garamond"/>
          <w:i w:val="0"/>
          <w:iCs w:val="0"/>
          <w:color w:val="auto"/>
        </w:rPr>
        <w:br w:type="page"/>
      </w:r>
    </w:p>
    <w:p w:rsidR="00CC3D1B" w:rsidRPr="00AE25FE" w:rsidRDefault="00CC3D1B" w:rsidP="00180A71">
      <w:pPr>
        <w:pStyle w:val="Heading2"/>
        <w:numPr>
          <w:ilvl w:val="0"/>
          <w:numId w:val="0"/>
        </w:numPr>
        <w:ind w:left="1440" w:hanging="720"/>
        <w:rPr>
          <w:rStyle w:val="SubtleEmphasis"/>
          <w:rFonts w:ascii="Garamond" w:hAnsi="Garamond"/>
          <w:i w:val="0"/>
          <w:iCs w:val="0"/>
          <w:color w:val="auto"/>
        </w:rPr>
      </w:pPr>
      <w:r w:rsidRPr="00AE25FE">
        <w:rPr>
          <w:rStyle w:val="SubtleEmphasis"/>
          <w:rFonts w:ascii="Garamond" w:hAnsi="Garamond"/>
          <w:i w:val="0"/>
          <w:iCs w:val="0"/>
          <w:color w:val="auto"/>
        </w:rPr>
        <w:lastRenderedPageBreak/>
        <w:t>Toward a measure of maturity</w:t>
      </w:r>
      <w:bookmarkEnd w:id="6"/>
    </w:p>
    <w:p w:rsidR="00CC3D1B" w:rsidRPr="00AE25FE" w:rsidRDefault="00CC3D1B" w:rsidP="00701A6D">
      <w:pPr>
        <w:rPr>
          <w:rFonts w:ascii="Garamond" w:hAnsi="Garamond"/>
        </w:rPr>
      </w:pPr>
    </w:p>
    <w:p w:rsidR="00170A71" w:rsidRDefault="00CC3D1B" w:rsidP="00701A6D">
      <w:pPr>
        <w:rPr>
          <w:rFonts w:ascii="Garamond" w:hAnsi="Garamond"/>
        </w:rPr>
      </w:pPr>
      <w:r w:rsidRPr="00AE25FE">
        <w:rPr>
          <w:rFonts w:ascii="Garamond" w:hAnsi="Garamond"/>
        </w:rPr>
        <w:t xml:space="preserve">Consider for a moment an EMR system </w:t>
      </w:r>
      <w:r w:rsidR="006B079B" w:rsidRPr="00AE25FE">
        <w:rPr>
          <w:rFonts w:ascii="Garamond" w:hAnsi="Garamond"/>
        </w:rPr>
        <w:t xml:space="preserve">as implemented by a single provider (primary care clinic, lab, or hospital) </w:t>
      </w:r>
      <w:r w:rsidRPr="00AE25FE">
        <w:rPr>
          <w:rFonts w:ascii="Garamond" w:hAnsi="Garamond"/>
        </w:rPr>
        <w:t>comprising four attributes (a</w:t>
      </w:r>
      <w:r w:rsidRPr="00AE25FE">
        <w:rPr>
          <w:rFonts w:ascii="Garamond" w:hAnsi="Garamond"/>
          <w:vertAlign w:val="subscript"/>
        </w:rPr>
        <w:t>1</w:t>
      </w:r>
      <w:r w:rsidRPr="00AE25FE">
        <w:rPr>
          <w:rFonts w:ascii="Garamond" w:hAnsi="Garamond"/>
        </w:rPr>
        <w:t xml:space="preserve"> to a</w:t>
      </w:r>
      <w:r w:rsidRPr="00AE25FE">
        <w:rPr>
          <w:rFonts w:ascii="Garamond" w:hAnsi="Garamond"/>
          <w:vertAlign w:val="subscript"/>
        </w:rPr>
        <w:t>4</w:t>
      </w:r>
      <w:r w:rsidRPr="00AE25FE">
        <w:rPr>
          <w:rFonts w:ascii="Garamond" w:hAnsi="Garamond"/>
        </w:rPr>
        <w:t>), as shown in Figure 1.  Set</w:t>
      </w:r>
      <w:r w:rsidR="00403960" w:rsidRPr="00AE25FE">
        <w:rPr>
          <w:rFonts w:ascii="Garamond" w:hAnsi="Garamond"/>
        </w:rPr>
        <w:t>ting</w:t>
      </w:r>
      <w:r w:rsidRPr="00AE25FE">
        <w:rPr>
          <w:rFonts w:ascii="Garamond" w:hAnsi="Garamond"/>
        </w:rPr>
        <w:t xml:space="preserve"> aside, for the moment, </w:t>
      </w:r>
      <w:r w:rsidR="006B079B" w:rsidRPr="00AE25FE">
        <w:rPr>
          <w:rFonts w:ascii="Garamond" w:hAnsi="Garamond"/>
        </w:rPr>
        <w:t xml:space="preserve">what each attribute measures or </w:t>
      </w:r>
      <w:r w:rsidRPr="00AE25FE">
        <w:rPr>
          <w:rFonts w:ascii="Garamond" w:hAnsi="Garamond"/>
        </w:rPr>
        <w:t xml:space="preserve">a measurement scale for the attributes, it is possible to </w:t>
      </w:r>
      <w:r w:rsidR="006B079B" w:rsidRPr="00AE25FE">
        <w:rPr>
          <w:rFonts w:ascii="Garamond" w:hAnsi="Garamond"/>
        </w:rPr>
        <w:t>conceptualize</w:t>
      </w:r>
      <w:r w:rsidR="00874F73" w:rsidRPr="00AE25FE">
        <w:rPr>
          <w:rFonts w:ascii="Garamond" w:hAnsi="Garamond"/>
        </w:rPr>
        <w:t xml:space="preserve"> levels of implementation for each attribute.  Designate </w:t>
      </w:r>
      <w:r w:rsidR="00627D80" w:rsidRPr="00AE25FE">
        <w:rPr>
          <w:rFonts w:ascii="Garamond" w:hAnsi="Garamond"/>
          <w:position w:val="-6"/>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9" o:title=""/>
          </v:shape>
          <o:OLEObject Type="Embed" ProgID="Equation.DSMT4" ShapeID="_x0000_i1025" DrawAspect="Content" ObjectID="_1408696109" r:id="rId10"/>
        </w:object>
      </w:r>
      <w:r w:rsidR="00874F73" w:rsidRPr="00AE25FE">
        <w:rPr>
          <w:rFonts w:ascii="Garamond" w:hAnsi="Garamond"/>
          <w:sz w:val="32"/>
        </w:rPr>
        <w:t xml:space="preserve"> </w:t>
      </w:r>
      <w:r w:rsidR="00874F73" w:rsidRPr="00AE25FE">
        <w:rPr>
          <w:rFonts w:ascii="Garamond" w:hAnsi="Garamond"/>
        </w:rPr>
        <w:t xml:space="preserve">as the maximum </w:t>
      </w:r>
      <w:r w:rsidR="00C647B5" w:rsidRPr="00AE25FE">
        <w:rPr>
          <w:rFonts w:ascii="Garamond" w:hAnsi="Garamond"/>
        </w:rPr>
        <w:t xml:space="preserve">feasible </w:t>
      </w:r>
      <w:r w:rsidR="00874F73" w:rsidRPr="00AE25FE">
        <w:rPr>
          <w:rFonts w:ascii="Garamond" w:hAnsi="Garamond"/>
        </w:rPr>
        <w:t xml:space="preserve">implementation for </w:t>
      </w:r>
      <w:r w:rsidR="005076DB" w:rsidRPr="00AE25FE">
        <w:rPr>
          <w:rFonts w:ascii="Garamond" w:hAnsi="Garamond"/>
        </w:rPr>
        <w:t>A</w:t>
      </w:r>
      <w:r w:rsidR="00874F73" w:rsidRPr="00AE25FE">
        <w:rPr>
          <w:rFonts w:ascii="Garamond" w:hAnsi="Garamond"/>
        </w:rPr>
        <w:t>ttribute “</w:t>
      </w:r>
      <w:proofErr w:type="spellStart"/>
      <w:r w:rsidR="00874F73" w:rsidRPr="00AE25FE">
        <w:rPr>
          <w:rFonts w:ascii="Garamond" w:hAnsi="Garamond"/>
        </w:rPr>
        <w:t>i</w:t>
      </w:r>
      <w:proofErr w:type="spellEnd"/>
      <w:r w:rsidR="00874F73" w:rsidRPr="00AE25FE">
        <w:rPr>
          <w:rFonts w:ascii="Garamond" w:hAnsi="Garamond"/>
        </w:rPr>
        <w:t xml:space="preserve">” </w:t>
      </w:r>
      <w:r w:rsidR="00C647B5" w:rsidRPr="00AE25FE">
        <w:rPr>
          <w:rFonts w:ascii="Garamond" w:hAnsi="Garamond"/>
        </w:rPr>
        <w:t xml:space="preserve">within the current technology </w:t>
      </w:r>
      <w:r w:rsidR="00874F73" w:rsidRPr="00AE25FE">
        <w:rPr>
          <w:rFonts w:ascii="Garamond" w:hAnsi="Garamond"/>
        </w:rPr>
        <w:t>and</w:t>
      </w:r>
      <w:r w:rsidR="00874F73" w:rsidRPr="00AE25FE">
        <w:rPr>
          <w:rFonts w:ascii="Garamond" w:hAnsi="Garamond"/>
          <w:position w:val="-6"/>
        </w:rPr>
        <w:object w:dxaOrig="200" w:dyaOrig="279">
          <v:shape id="_x0000_i1026" type="#_x0000_t75" style="width:9.75pt;height:14.25pt" o:ole="">
            <v:imagedata r:id="rId11" o:title=""/>
          </v:shape>
          <o:OLEObject Type="Embed" ProgID="Equation.DSMT4" ShapeID="_x0000_i1026" DrawAspect="Content" ObjectID="_1408696110" r:id="rId12"/>
        </w:object>
      </w:r>
      <w:r w:rsidR="00874F73" w:rsidRPr="00AE25FE">
        <w:rPr>
          <w:rFonts w:ascii="Garamond" w:hAnsi="Garamond"/>
        </w:rPr>
        <w:t xml:space="preserve"> as the actual implementation</w:t>
      </w:r>
      <w:r w:rsidR="00C647B5" w:rsidRPr="00AE25FE">
        <w:rPr>
          <w:rFonts w:ascii="Garamond" w:hAnsi="Garamond"/>
        </w:rPr>
        <w:t xml:space="preserve"> for any provider</w:t>
      </w:r>
      <w:r w:rsidR="00874F73" w:rsidRPr="00AE25FE">
        <w:rPr>
          <w:rFonts w:ascii="Garamond" w:hAnsi="Garamond"/>
        </w:rPr>
        <w:t>.</w:t>
      </w:r>
      <w:r w:rsidR="00403960" w:rsidRPr="00AE25FE">
        <w:rPr>
          <w:rFonts w:ascii="Garamond" w:hAnsi="Garamond"/>
        </w:rPr>
        <w:t xml:space="preserve"> </w:t>
      </w:r>
      <w:r w:rsidR="006F2241" w:rsidRPr="00AE25FE">
        <w:rPr>
          <w:rFonts w:ascii="Garamond" w:hAnsi="Garamond"/>
        </w:rPr>
        <w:t xml:space="preserve"> </w:t>
      </w:r>
      <w:r w:rsidR="006B079B" w:rsidRPr="00AE25FE">
        <w:rPr>
          <w:rFonts w:ascii="Garamond" w:hAnsi="Garamond"/>
        </w:rPr>
        <w:t xml:space="preserve">Figure 1 shows that the actual implementation for </w:t>
      </w:r>
      <w:r w:rsidR="006F2241" w:rsidRPr="00AE25FE">
        <w:rPr>
          <w:rFonts w:ascii="Garamond" w:hAnsi="Garamond"/>
        </w:rPr>
        <w:t>A</w:t>
      </w:r>
      <w:r w:rsidR="006B079B" w:rsidRPr="00AE25FE">
        <w:rPr>
          <w:rFonts w:ascii="Garamond" w:hAnsi="Garamond"/>
        </w:rPr>
        <w:t xml:space="preserve">ttribute 4 lags the maximum possible (with the technical limits of the IT implementation and with respect to </w:t>
      </w:r>
      <w:r w:rsidR="006F2241" w:rsidRPr="00AE25FE">
        <w:rPr>
          <w:rFonts w:ascii="Garamond" w:hAnsi="Garamond"/>
        </w:rPr>
        <w:t>A</w:t>
      </w:r>
      <w:r w:rsidR="006B079B" w:rsidRPr="00AE25FE">
        <w:rPr>
          <w:rFonts w:ascii="Garamond" w:hAnsi="Garamond"/>
        </w:rPr>
        <w:t>ttribute 1, the actual</w:t>
      </w:r>
      <w:r w:rsidR="00840DC4" w:rsidRPr="00AE25FE">
        <w:rPr>
          <w:rFonts w:ascii="Garamond" w:hAnsi="Garamond"/>
        </w:rPr>
        <w:t xml:space="preserve"> implementation</w:t>
      </w:r>
      <w:r w:rsidR="006B079B" w:rsidRPr="00AE25FE">
        <w:rPr>
          <w:rFonts w:ascii="Garamond" w:hAnsi="Garamond"/>
        </w:rPr>
        <w:t xml:space="preserve"> equals the maximum</w:t>
      </w:r>
      <w:r w:rsidR="00C861E3" w:rsidRPr="00AE25FE">
        <w:rPr>
          <w:rFonts w:ascii="Garamond" w:hAnsi="Garamond"/>
        </w:rPr>
        <w:t>)</w:t>
      </w:r>
      <w:r w:rsidR="00865646" w:rsidRPr="00AE25FE">
        <w:rPr>
          <w:rFonts w:ascii="Garamond" w:hAnsi="Garamond"/>
        </w:rPr>
        <w:t>.</w:t>
      </w:r>
      <w:r w:rsidRPr="00AE25FE">
        <w:rPr>
          <w:rFonts w:ascii="Garamond" w:hAnsi="Garamond"/>
        </w:rPr>
        <w:t xml:space="preserve"> </w:t>
      </w:r>
    </w:p>
    <w:p w:rsidR="001A78B0" w:rsidRDefault="001A78B0" w:rsidP="00701A6D">
      <w:pPr>
        <w:rPr>
          <w:rFonts w:ascii="Garamond" w:hAnsi="Garamond"/>
        </w:rPr>
      </w:pPr>
    </w:p>
    <w:p w:rsidR="001A78B0" w:rsidRPr="00AE25FE" w:rsidRDefault="001A78B0" w:rsidP="00701A6D">
      <w:pPr>
        <w:rPr>
          <w:rFonts w:ascii="Garamond" w:hAnsi="Garamond"/>
        </w:rPr>
      </w:pPr>
    </w:p>
    <w:p w:rsidR="00627D80" w:rsidRPr="00AE25FE" w:rsidRDefault="00627D80" w:rsidP="00701A6D">
      <w:pPr>
        <w:rPr>
          <w:rFonts w:ascii="Garamond" w:hAnsi="Garamond"/>
        </w:rPr>
        <w:sectPr w:rsidR="00627D80" w:rsidRPr="00AE25FE" w:rsidSect="00823D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AE25FE">
        <w:rPr>
          <w:rFonts w:ascii="Garamond" w:hAnsi="Garamond"/>
          <w:noProof/>
          <w:lang w:eastAsia="en-CA"/>
        </w:rPr>
        <w:drawing>
          <wp:inline distT="0" distB="0" distL="0" distR="0">
            <wp:extent cx="2743200" cy="2604135"/>
            <wp:effectExtent l="19050" t="0" r="0" b="0"/>
            <wp:docPr id="4" name="Picture 2" descr="Base attribute mode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ttribute model.emf"/>
                    <pic:cNvPicPr/>
                  </pic:nvPicPr>
                  <pic:blipFill>
                    <a:blip r:embed="rId19"/>
                    <a:stretch>
                      <a:fillRect/>
                    </a:stretch>
                  </pic:blipFill>
                  <pic:spPr>
                    <a:xfrm>
                      <a:off x="0" y="0"/>
                      <a:ext cx="2743200" cy="2604135"/>
                    </a:xfrm>
                    <a:prstGeom prst="rect">
                      <a:avLst/>
                    </a:prstGeom>
                  </pic:spPr>
                </pic:pic>
              </a:graphicData>
            </a:graphic>
          </wp:inline>
        </w:drawing>
      </w:r>
      <w:r w:rsidRPr="00AE25FE">
        <w:rPr>
          <w:rFonts w:ascii="Garamond" w:hAnsi="Garamond"/>
          <w:b/>
          <w:noProof/>
          <w:lang w:eastAsia="en-CA"/>
        </w:rPr>
        <w:drawing>
          <wp:inline distT="0" distB="0" distL="0" distR="0">
            <wp:extent cx="2715082" cy="2588025"/>
            <wp:effectExtent l="19050" t="0" r="0" b="0"/>
            <wp:docPr id="5" name="Picture 10" descr="Base attribute model_2 EMR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 attribute model_2 EMRs.e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8734" cy="2591506"/>
                    </a:xfrm>
                    <a:prstGeom prst="rect">
                      <a:avLst/>
                    </a:prstGeom>
                    <a:noFill/>
                    <a:ln>
                      <a:noFill/>
                    </a:ln>
                  </pic:spPr>
                </pic:pic>
              </a:graphicData>
            </a:graphic>
          </wp:inline>
        </w:drawing>
      </w:r>
    </w:p>
    <w:p w:rsidR="00170A71" w:rsidRPr="00AE25FE" w:rsidRDefault="00170A71" w:rsidP="00701A6D">
      <w:pPr>
        <w:rPr>
          <w:rFonts w:ascii="Garamond" w:hAnsi="Garamond"/>
        </w:rPr>
      </w:pPr>
    </w:p>
    <w:p w:rsidR="00170A71" w:rsidRPr="00AE25FE" w:rsidRDefault="00170A71" w:rsidP="00627D80">
      <w:pPr>
        <w:rPr>
          <w:rFonts w:ascii="Garamond" w:hAnsi="Garamond"/>
        </w:rPr>
      </w:pPr>
    </w:p>
    <w:p w:rsidR="00CC3D1B" w:rsidRPr="00AE25FE" w:rsidRDefault="00CC3D1B" w:rsidP="00F4218B">
      <w:pPr>
        <w:jc w:val="center"/>
        <w:rPr>
          <w:rFonts w:ascii="Garamond" w:hAnsi="Garamond"/>
          <w:b/>
        </w:rPr>
      </w:pPr>
      <w:r w:rsidRPr="00AE25FE">
        <w:rPr>
          <w:rFonts w:ascii="Garamond" w:hAnsi="Garamond"/>
          <w:b/>
        </w:rPr>
        <w:t xml:space="preserve">Figure 1: A four attribute </w:t>
      </w:r>
      <w:r w:rsidR="00170A71" w:rsidRPr="00AE25FE">
        <w:rPr>
          <w:rFonts w:ascii="Garamond" w:hAnsi="Garamond"/>
          <w:b/>
        </w:rPr>
        <w:t>HIT</w:t>
      </w:r>
    </w:p>
    <w:p w:rsidR="00627D80" w:rsidRPr="00AE25FE" w:rsidRDefault="00627D80" w:rsidP="00627D80">
      <w:pPr>
        <w:rPr>
          <w:rFonts w:ascii="Garamond" w:hAnsi="Garamond"/>
          <w:b/>
        </w:rPr>
      </w:pPr>
    </w:p>
    <w:p w:rsidR="00FA167A" w:rsidRPr="00AE25FE" w:rsidRDefault="00FA167A" w:rsidP="00F4218B">
      <w:pPr>
        <w:jc w:val="center"/>
        <w:rPr>
          <w:rFonts w:ascii="Garamond" w:hAnsi="Garamond"/>
          <w:b/>
          <w:noProof/>
          <w:lang w:eastAsia="en-CA"/>
        </w:rPr>
      </w:pPr>
    </w:p>
    <w:p w:rsidR="00170A71" w:rsidRPr="00AE25FE" w:rsidRDefault="00170A71" w:rsidP="00F4218B">
      <w:pPr>
        <w:jc w:val="center"/>
        <w:rPr>
          <w:rFonts w:ascii="Garamond" w:hAnsi="Garamond"/>
          <w:b/>
        </w:rPr>
      </w:pPr>
    </w:p>
    <w:p w:rsidR="00627D80" w:rsidRPr="00AE25FE" w:rsidRDefault="00627D80" w:rsidP="00F4218B">
      <w:pPr>
        <w:jc w:val="center"/>
        <w:rPr>
          <w:rFonts w:ascii="Garamond" w:hAnsi="Garamond"/>
          <w:b/>
        </w:rPr>
      </w:pPr>
    </w:p>
    <w:p w:rsidR="00170A71" w:rsidRPr="00AE25FE" w:rsidRDefault="00170A71" w:rsidP="00170A71">
      <w:pPr>
        <w:jc w:val="center"/>
        <w:rPr>
          <w:rFonts w:ascii="Garamond" w:hAnsi="Garamond"/>
          <w:b/>
        </w:rPr>
      </w:pPr>
      <w:r w:rsidRPr="00AE25FE">
        <w:rPr>
          <w:rFonts w:ascii="Garamond" w:hAnsi="Garamond"/>
          <w:b/>
        </w:rPr>
        <w:t>Figure 2: Two HIT implementatio</w:t>
      </w:r>
      <w:r w:rsidR="00FA167A" w:rsidRPr="00AE25FE">
        <w:rPr>
          <w:rFonts w:ascii="Garamond" w:hAnsi="Garamond"/>
          <w:b/>
        </w:rPr>
        <w:t>n</w:t>
      </w:r>
      <w:r w:rsidR="00627D80" w:rsidRPr="00AE25FE">
        <w:rPr>
          <w:rFonts w:ascii="Garamond" w:hAnsi="Garamond"/>
          <w:b/>
        </w:rPr>
        <w:t>s</w:t>
      </w:r>
    </w:p>
    <w:p w:rsidR="00627D80" w:rsidRPr="00AE25FE" w:rsidRDefault="00627D80" w:rsidP="00170A71">
      <w:pPr>
        <w:jc w:val="center"/>
        <w:rPr>
          <w:rFonts w:ascii="Garamond" w:hAnsi="Garamond"/>
          <w:b/>
        </w:rPr>
      </w:pPr>
    </w:p>
    <w:p w:rsidR="00627D80" w:rsidRPr="00AE25FE" w:rsidRDefault="00627D80" w:rsidP="00170A71">
      <w:pPr>
        <w:jc w:val="center"/>
        <w:rPr>
          <w:rFonts w:ascii="Garamond" w:hAnsi="Garamond"/>
          <w:b/>
        </w:rPr>
      </w:pPr>
    </w:p>
    <w:p w:rsidR="00627D80" w:rsidRPr="00AE25FE" w:rsidRDefault="00627D80" w:rsidP="00170A71">
      <w:pPr>
        <w:jc w:val="center"/>
        <w:rPr>
          <w:rFonts w:ascii="Garamond" w:hAnsi="Garamond"/>
          <w:b/>
        </w:rPr>
        <w:sectPr w:rsidR="00627D80" w:rsidRPr="00AE25FE" w:rsidSect="00170A71">
          <w:type w:val="continuous"/>
          <w:pgSz w:w="12240" w:h="15840"/>
          <w:pgMar w:top="1440" w:right="1440" w:bottom="1440" w:left="1440" w:header="720" w:footer="720" w:gutter="0"/>
          <w:cols w:num="2" w:space="720"/>
          <w:docGrid w:linePitch="360"/>
        </w:sectPr>
      </w:pPr>
    </w:p>
    <w:p w:rsidR="00627D80" w:rsidRDefault="00627D80" w:rsidP="001A78B0">
      <w:pPr>
        <w:rPr>
          <w:rFonts w:ascii="Garamond" w:hAnsi="Garamond"/>
        </w:rPr>
      </w:pPr>
    </w:p>
    <w:p w:rsidR="001A78B0" w:rsidRPr="001A78B0" w:rsidRDefault="001A78B0" w:rsidP="001A78B0">
      <w:pPr>
        <w:rPr>
          <w:rFonts w:ascii="Garamond" w:hAnsi="Garamond"/>
        </w:rPr>
      </w:pPr>
    </w:p>
    <w:p w:rsidR="00266709" w:rsidRPr="00AE25FE" w:rsidRDefault="00627D80" w:rsidP="00627D80">
      <w:pPr>
        <w:rPr>
          <w:rFonts w:ascii="Garamond" w:hAnsi="Garamond"/>
        </w:rPr>
      </w:pPr>
      <w:r w:rsidRPr="00AE25FE">
        <w:rPr>
          <w:rFonts w:ascii="Garamond" w:hAnsi="Garamond"/>
        </w:rPr>
        <w:t xml:space="preserve">Figure 2 portrays two HIT implementations, where one </w:t>
      </w:r>
      <w:r w:rsidR="005962C2" w:rsidRPr="00AE25FE">
        <w:rPr>
          <w:rFonts w:ascii="Garamond" w:hAnsi="Garamond"/>
        </w:rPr>
        <w:t>implementation dominates</w:t>
      </w:r>
      <w:r w:rsidRPr="00AE25FE">
        <w:rPr>
          <w:rFonts w:ascii="Garamond" w:hAnsi="Garamond"/>
        </w:rPr>
        <w:t xml:space="preserve"> in two attributes (A in a</w:t>
      </w:r>
      <w:r w:rsidRPr="00AE25FE">
        <w:rPr>
          <w:rFonts w:ascii="Garamond" w:hAnsi="Garamond"/>
          <w:vertAlign w:val="subscript"/>
        </w:rPr>
        <w:t xml:space="preserve">2 </w:t>
      </w:r>
      <w:r w:rsidRPr="00AE25FE">
        <w:rPr>
          <w:rFonts w:ascii="Garamond" w:hAnsi="Garamond"/>
        </w:rPr>
        <w:t>and a</w:t>
      </w:r>
      <w:r w:rsidRPr="00AE25FE">
        <w:rPr>
          <w:rFonts w:ascii="Garamond" w:hAnsi="Garamond"/>
          <w:vertAlign w:val="subscript"/>
        </w:rPr>
        <w:t>3</w:t>
      </w:r>
      <w:r w:rsidR="00211588" w:rsidRPr="00AE25FE">
        <w:rPr>
          <w:rFonts w:ascii="Garamond" w:hAnsi="Garamond"/>
        </w:rPr>
        <w:t xml:space="preserve">) </w:t>
      </w:r>
      <w:r w:rsidR="00403960" w:rsidRPr="00AE25FE">
        <w:rPr>
          <w:rFonts w:ascii="Garamond" w:hAnsi="Garamond"/>
        </w:rPr>
        <w:t xml:space="preserve">and the other in the remaining </w:t>
      </w:r>
      <w:r w:rsidR="006F2241" w:rsidRPr="00AE25FE">
        <w:rPr>
          <w:rFonts w:ascii="Garamond" w:hAnsi="Garamond"/>
        </w:rPr>
        <w:t>two</w:t>
      </w:r>
      <w:r w:rsidR="00C647B5" w:rsidRPr="00AE25FE">
        <w:rPr>
          <w:rFonts w:ascii="Garamond" w:hAnsi="Garamond"/>
        </w:rPr>
        <w:t xml:space="preserve"> (</w:t>
      </w:r>
      <w:r w:rsidR="00266709" w:rsidRPr="00AE25FE">
        <w:rPr>
          <w:rFonts w:ascii="Garamond" w:hAnsi="Garamond"/>
        </w:rPr>
        <w:t>B in a</w:t>
      </w:r>
      <w:r w:rsidR="00266709" w:rsidRPr="00AE25FE">
        <w:rPr>
          <w:rFonts w:ascii="Garamond" w:hAnsi="Garamond"/>
          <w:vertAlign w:val="subscript"/>
        </w:rPr>
        <w:t>1</w:t>
      </w:r>
      <w:r w:rsidR="00266709" w:rsidRPr="00AE25FE">
        <w:rPr>
          <w:rFonts w:ascii="Garamond" w:hAnsi="Garamond"/>
        </w:rPr>
        <w:t xml:space="preserve"> and a</w:t>
      </w:r>
      <w:r w:rsidR="00266709" w:rsidRPr="00AE25FE">
        <w:rPr>
          <w:rFonts w:ascii="Garamond" w:hAnsi="Garamond"/>
          <w:vertAlign w:val="subscript"/>
        </w:rPr>
        <w:t>4</w:t>
      </w:r>
      <w:r w:rsidR="00266709" w:rsidRPr="00AE25FE">
        <w:rPr>
          <w:rFonts w:ascii="Garamond" w:hAnsi="Garamond"/>
        </w:rPr>
        <w:t>.</w:t>
      </w:r>
      <w:r w:rsidR="00C647B5" w:rsidRPr="00AE25FE">
        <w:rPr>
          <w:rFonts w:ascii="Garamond" w:hAnsi="Garamond"/>
        </w:rPr>
        <w:t>)</w:t>
      </w:r>
      <w:r w:rsidR="00C861E3" w:rsidRPr="00AE25FE">
        <w:rPr>
          <w:rFonts w:ascii="Garamond" w:hAnsi="Garamond"/>
        </w:rPr>
        <w:t>.</w:t>
      </w:r>
      <w:r w:rsidR="00C647B5" w:rsidRPr="00AE25FE">
        <w:rPr>
          <w:rFonts w:ascii="Garamond" w:hAnsi="Garamond"/>
        </w:rPr>
        <w:t xml:space="preserve"> </w:t>
      </w:r>
      <w:r w:rsidR="00266709" w:rsidRPr="00AE25FE">
        <w:rPr>
          <w:rFonts w:ascii="Garamond" w:hAnsi="Garamond"/>
        </w:rPr>
        <w:t xml:space="preserve">Table </w:t>
      </w:r>
      <w:r w:rsidR="005962C2" w:rsidRPr="00AE25FE">
        <w:rPr>
          <w:rFonts w:ascii="Garamond" w:hAnsi="Garamond"/>
        </w:rPr>
        <w:t>2</w:t>
      </w:r>
      <w:r w:rsidR="00266709" w:rsidRPr="00AE25FE">
        <w:rPr>
          <w:rFonts w:ascii="Garamond" w:hAnsi="Garamond"/>
        </w:rPr>
        <w:t xml:space="preserve"> presented a seven dimensional model for maturity. Movement down the </w:t>
      </w:r>
      <w:r w:rsidR="00507F52" w:rsidRPr="00AE25FE">
        <w:rPr>
          <w:rFonts w:ascii="Garamond" w:hAnsi="Garamond"/>
        </w:rPr>
        <w:t>feature</w:t>
      </w:r>
      <w:r w:rsidR="00266709" w:rsidRPr="00AE25FE">
        <w:rPr>
          <w:rFonts w:ascii="Garamond" w:hAnsi="Garamond"/>
        </w:rPr>
        <w:t>s at any stage represents movement along the axes</w:t>
      </w:r>
      <w:r w:rsidR="000867B8" w:rsidRPr="00AE25FE">
        <w:rPr>
          <w:rFonts w:ascii="Garamond" w:hAnsi="Garamond"/>
        </w:rPr>
        <w:t xml:space="preserve"> in Figure 1</w:t>
      </w:r>
      <w:r w:rsidR="006F2241" w:rsidRPr="00AE25FE">
        <w:rPr>
          <w:rFonts w:ascii="Garamond" w:hAnsi="Garamond"/>
        </w:rPr>
        <w:t xml:space="preserve">.  </w:t>
      </w:r>
      <w:r w:rsidR="000867B8" w:rsidRPr="00AE25FE">
        <w:rPr>
          <w:rFonts w:ascii="Garamond" w:hAnsi="Garamond"/>
        </w:rPr>
        <w:t>This unit</w:t>
      </w:r>
      <w:r w:rsidR="006F2241" w:rsidRPr="00AE25FE">
        <w:rPr>
          <w:rFonts w:ascii="Garamond" w:hAnsi="Garamond"/>
        </w:rPr>
        <w:t>e</w:t>
      </w:r>
      <w:r w:rsidR="000867B8" w:rsidRPr="00AE25FE">
        <w:rPr>
          <w:rFonts w:ascii="Garamond" w:hAnsi="Garamond"/>
        </w:rPr>
        <w:t>s the representation in Table 1 with</w:t>
      </w:r>
      <w:r w:rsidR="002C7A28" w:rsidRPr="00AE25FE">
        <w:rPr>
          <w:rFonts w:ascii="Garamond" w:hAnsi="Garamond"/>
        </w:rPr>
        <w:t xml:space="preserve"> the representation in</w:t>
      </w:r>
      <w:r w:rsidR="000867B8" w:rsidRPr="00AE25FE">
        <w:rPr>
          <w:rFonts w:ascii="Garamond" w:hAnsi="Garamond"/>
        </w:rPr>
        <w:t xml:space="preserve"> Figures 1 and 2.</w:t>
      </w:r>
      <w:r w:rsidR="00F00DC7" w:rsidRPr="00AE25FE">
        <w:rPr>
          <w:rFonts w:ascii="Garamond" w:hAnsi="Garamond"/>
        </w:rPr>
        <w:t xml:space="preserve"> </w:t>
      </w:r>
    </w:p>
    <w:p w:rsidR="00FD3BBD" w:rsidRPr="00AE25FE" w:rsidRDefault="00FD3BBD" w:rsidP="00627D80">
      <w:pPr>
        <w:rPr>
          <w:rFonts w:ascii="Garamond" w:hAnsi="Garamond"/>
        </w:rPr>
      </w:pPr>
    </w:p>
    <w:p w:rsidR="001A78B0" w:rsidRDefault="001A78B0">
      <w:pPr>
        <w:rPr>
          <w:rFonts w:ascii="Garamond" w:hAnsi="Garamond"/>
        </w:rPr>
      </w:pPr>
      <w:r>
        <w:rPr>
          <w:rFonts w:ascii="Garamond" w:hAnsi="Garamond"/>
        </w:rPr>
        <w:br w:type="page"/>
      </w:r>
    </w:p>
    <w:p w:rsidR="00FD3BBD" w:rsidRPr="00AE25FE" w:rsidRDefault="005962C2" w:rsidP="00FD3BBD">
      <w:pPr>
        <w:rPr>
          <w:rFonts w:ascii="Garamond" w:hAnsi="Garamond"/>
        </w:rPr>
      </w:pPr>
      <w:r w:rsidRPr="00AE25FE">
        <w:rPr>
          <w:rFonts w:ascii="Garamond" w:hAnsi="Garamond"/>
        </w:rPr>
        <w:lastRenderedPageBreak/>
        <w:t>P</w:t>
      </w:r>
      <w:r w:rsidR="00FD3BBD" w:rsidRPr="00AE25FE">
        <w:rPr>
          <w:rFonts w:ascii="Garamond" w:hAnsi="Garamond"/>
        </w:rPr>
        <w:t xml:space="preserve">ursuing the simple model as presented in Figures 1 to 2 and assuming that we have the seven-attribute EMR as suggested by Table 1, with each attribute comprising a single </w:t>
      </w:r>
      <w:proofErr w:type="gramStart"/>
      <w:r w:rsidR="00FD3BBD" w:rsidRPr="00AE25FE">
        <w:rPr>
          <w:rFonts w:ascii="Garamond" w:hAnsi="Garamond"/>
        </w:rPr>
        <w:t>dimension</w:t>
      </w:r>
      <w:r w:rsidR="002C7A28" w:rsidRPr="00AE25FE">
        <w:rPr>
          <w:rFonts w:ascii="Garamond" w:hAnsi="Garamond"/>
        </w:rPr>
        <w:t>,</w:t>
      </w:r>
      <w:proofErr w:type="gramEnd"/>
      <w:r w:rsidR="002C7A28" w:rsidRPr="00AE25FE">
        <w:rPr>
          <w:rFonts w:ascii="Garamond" w:hAnsi="Garamond"/>
        </w:rPr>
        <w:t xml:space="preserve"> </w:t>
      </w:r>
      <w:r w:rsidR="00FD3BBD" w:rsidRPr="00AE25FE">
        <w:rPr>
          <w:rFonts w:ascii="Garamond" w:hAnsi="Garamond"/>
        </w:rPr>
        <w:t>it is possible to arrive at a simple conceptual measure of EMR implementation.  In brief,</w:t>
      </w:r>
      <w:r w:rsidR="002C7A28" w:rsidRPr="00AE25FE">
        <w:rPr>
          <w:rFonts w:ascii="Garamond" w:hAnsi="Garamond"/>
        </w:rPr>
        <w:t xml:space="preserve"> we propose that this </w:t>
      </w:r>
      <w:r w:rsidR="00FD3BBD" w:rsidRPr="00AE25FE">
        <w:rPr>
          <w:rFonts w:ascii="Garamond" w:hAnsi="Garamond"/>
        </w:rPr>
        <w:t>simply</w:t>
      </w:r>
      <w:r w:rsidR="002C7A28" w:rsidRPr="00AE25FE">
        <w:rPr>
          <w:rFonts w:ascii="Garamond" w:hAnsi="Garamond"/>
        </w:rPr>
        <w:t xml:space="preserve"> be </w:t>
      </w:r>
      <w:r w:rsidR="00FD3BBD" w:rsidRPr="00AE25FE">
        <w:rPr>
          <w:rFonts w:ascii="Garamond" w:hAnsi="Garamond"/>
        </w:rPr>
        <w:t>the percentage of all information exchanges within the provider unit (clinic) that are electronic</w:t>
      </w:r>
      <w:r w:rsidRPr="00AE25FE">
        <w:rPr>
          <w:rFonts w:ascii="Garamond" w:hAnsi="Garamond"/>
        </w:rPr>
        <w:t xml:space="preserve"> for a particular attribute/</w:t>
      </w:r>
      <w:r w:rsidR="00507F52" w:rsidRPr="00AE25FE">
        <w:rPr>
          <w:rFonts w:ascii="Garamond" w:hAnsi="Garamond"/>
        </w:rPr>
        <w:t>feature</w:t>
      </w:r>
      <w:r w:rsidRPr="00AE25FE">
        <w:rPr>
          <w:rFonts w:ascii="Garamond" w:hAnsi="Garamond"/>
        </w:rPr>
        <w:t>.</w:t>
      </w:r>
      <w:r w:rsidR="00FD3BBD" w:rsidRPr="00AE25FE">
        <w:rPr>
          <w:rFonts w:ascii="Garamond" w:hAnsi="Garamond"/>
        </w:rPr>
        <w:t xml:space="preserve"> </w:t>
      </w:r>
      <w:r w:rsidR="002C7A28" w:rsidRPr="00AE25FE">
        <w:rPr>
          <w:rFonts w:ascii="Garamond" w:hAnsi="Garamond"/>
        </w:rPr>
        <w:t xml:space="preserve"> Th</w:t>
      </w:r>
      <w:r w:rsidR="00FD3BBD" w:rsidRPr="00AE25FE">
        <w:rPr>
          <w:rFonts w:ascii="Garamond" w:hAnsi="Garamond"/>
        </w:rPr>
        <w:t>is</w:t>
      </w:r>
      <w:r w:rsidR="002C7A28" w:rsidRPr="00AE25FE">
        <w:rPr>
          <w:rFonts w:ascii="Garamond" w:hAnsi="Garamond"/>
        </w:rPr>
        <w:t xml:space="preserve"> proposition </w:t>
      </w:r>
      <w:r w:rsidR="00FD3BBD" w:rsidRPr="00AE25FE">
        <w:rPr>
          <w:rFonts w:ascii="Garamond" w:hAnsi="Garamond"/>
        </w:rPr>
        <w:t>rests on three requirements:</w:t>
      </w:r>
    </w:p>
    <w:p w:rsidR="00FD3BBD" w:rsidRPr="00AE25FE" w:rsidRDefault="00FD3BBD" w:rsidP="00FD3BBD">
      <w:pPr>
        <w:rPr>
          <w:rFonts w:ascii="Garamond" w:hAnsi="Garamond"/>
        </w:rPr>
      </w:pPr>
    </w:p>
    <w:p w:rsidR="00FD3BBD" w:rsidRDefault="00FD3BBD" w:rsidP="00FD3BBD">
      <w:pPr>
        <w:pStyle w:val="ListParagraph"/>
        <w:numPr>
          <w:ilvl w:val="0"/>
          <w:numId w:val="27"/>
        </w:numPr>
        <w:rPr>
          <w:rFonts w:ascii="Garamond" w:hAnsi="Garamond"/>
        </w:rPr>
      </w:pPr>
      <w:r w:rsidRPr="00AE25FE">
        <w:rPr>
          <w:rFonts w:ascii="Garamond" w:hAnsi="Garamond"/>
        </w:rPr>
        <w:t>A consensus must exist on the attributes and features that comprise a “standard</w:t>
      </w:r>
      <w:r w:rsidR="006F2241" w:rsidRPr="00AE25FE">
        <w:rPr>
          <w:rFonts w:ascii="Garamond" w:hAnsi="Garamond"/>
        </w:rPr>
        <w:t>,</w:t>
      </w:r>
      <w:r w:rsidRPr="00AE25FE">
        <w:rPr>
          <w:rFonts w:ascii="Garamond" w:hAnsi="Garamond"/>
        </w:rPr>
        <w:t>” minimum and maximum implementation</w:t>
      </w:r>
      <w:r w:rsidR="002C7A28" w:rsidRPr="00AE25FE">
        <w:rPr>
          <w:rFonts w:ascii="Garamond" w:hAnsi="Garamond"/>
        </w:rPr>
        <w:t xml:space="preserve"> of an HIT</w:t>
      </w:r>
      <w:r w:rsidRPr="00AE25FE">
        <w:rPr>
          <w:rFonts w:ascii="Garamond" w:hAnsi="Garamond"/>
        </w:rPr>
        <w:t>.</w:t>
      </w:r>
      <w:r w:rsidRPr="00AE25FE">
        <w:rPr>
          <w:rStyle w:val="FootnoteReference"/>
          <w:rFonts w:ascii="Garamond" w:hAnsi="Garamond"/>
        </w:rPr>
        <w:footnoteReference w:id="12"/>
      </w:r>
      <w:r w:rsidRPr="00AE25FE">
        <w:rPr>
          <w:rFonts w:ascii="Garamond" w:hAnsi="Garamond"/>
        </w:rPr>
        <w:t xml:space="preserve">  </w:t>
      </w:r>
    </w:p>
    <w:p w:rsidR="001A78B0" w:rsidRPr="001A78B0" w:rsidRDefault="001A78B0" w:rsidP="001A78B0">
      <w:pPr>
        <w:ind w:left="360"/>
        <w:rPr>
          <w:rFonts w:ascii="Garamond" w:hAnsi="Garamond"/>
        </w:rPr>
      </w:pPr>
    </w:p>
    <w:p w:rsidR="005962C2" w:rsidRDefault="005962C2" w:rsidP="00FD3BBD">
      <w:pPr>
        <w:pStyle w:val="ListParagraph"/>
        <w:numPr>
          <w:ilvl w:val="0"/>
          <w:numId w:val="27"/>
        </w:numPr>
        <w:rPr>
          <w:rFonts w:ascii="Garamond" w:hAnsi="Garamond"/>
        </w:rPr>
      </w:pPr>
      <w:r w:rsidRPr="00AE25FE">
        <w:rPr>
          <w:rFonts w:ascii="Garamond" w:hAnsi="Garamond"/>
        </w:rPr>
        <w:t xml:space="preserve">Each attribute and </w:t>
      </w:r>
      <w:r w:rsidR="00507F52" w:rsidRPr="00AE25FE">
        <w:rPr>
          <w:rFonts w:ascii="Garamond" w:hAnsi="Garamond"/>
        </w:rPr>
        <w:t>feature</w:t>
      </w:r>
      <w:r w:rsidRPr="00AE25FE">
        <w:rPr>
          <w:rFonts w:ascii="Garamond" w:hAnsi="Garamond"/>
        </w:rPr>
        <w:t xml:space="preserve"> must be expressed quantitatively as information flows or transactions. </w:t>
      </w:r>
      <w:r w:rsidR="00FD3BBD" w:rsidRPr="00AE25FE">
        <w:rPr>
          <w:rFonts w:ascii="Garamond" w:hAnsi="Garamond"/>
        </w:rPr>
        <w:t xml:space="preserve">Processes must exist within </w:t>
      </w:r>
      <w:r w:rsidRPr="00AE25FE">
        <w:rPr>
          <w:rFonts w:ascii="Garamond" w:hAnsi="Garamond"/>
        </w:rPr>
        <w:t xml:space="preserve">IT systems adopted by a health provider to measure the </w:t>
      </w:r>
      <w:r w:rsidR="00FD3BBD" w:rsidRPr="00AE25FE">
        <w:rPr>
          <w:rFonts w:ascii="Garamond" w:hAnsi="Garamond"/>
        </w:rPr>
        <w:t>information flows competed automatically and manually</w:t>
      </w:r>
      <w:r w:rsidRPr="00AE25FE">
        <w:rPr>
          <w:rFonts w:ascii="Garamond" w:hAnsi="Garamond"/>
        </w:rPr>
        <w:t xml:space="preserve"> for each attribute</w:t>
      </w:r>
      <w:r w:rsidR="00FD3BBD" w:rsidRPr="00AE25FE">
        <w:rPr>
          <w:rFonts w:ascii="Garamond" w:hAnsi="Garamond"/>
        </w:rPr>
        <w:t xml:space="preserve">. </w:t>
      </w:r>
      <w:r w:rsidR="00F00DC7" w:rsidRPr="00AE25FE">
        <w:rPr>
          <w:rFonts w:ascii="Garamond" w:hAnsi="Garamond"/>
        </w:rPr>
        <w:t xml:space="preserve">(Technical </w:t>
      </w:r>
      <w:r w:rsidR="006F2241" w:rsidRPr="00AE25FE">
        <w:rPr>
          <w:rFonts w:ascii="Garamond" w:hAnsi="Garamond"/>
        </w:rPr>
        <w:t>Appendix</w:t>
      </w:r>
      <w:r w:rsidR="00F00DC7" w:rsidRPr="00AE25FE">
        <w:rPr>
          <w:rFonts w:ascii="Garamond" w:hAnsi="Garamond"/>
        </w:rPr>
        <w:t xml:space="preserve"> A presents some informal expressions for various dimensions of maturity</w:t>
      </w:r>
      <w:r w:rsidR="006F2241" w:rsidRPr="00AE25FE">
        <w:rPr>
          <w:rFonts w:ascii="Garamond" w:hAnsi="Garamond"/>
        </w:rPr>
        <w:t>.</w:t>
      </w:r>
      <w:r w:rsidR="00F00DC7" w:rsidRPr="00AE25FE">
        <w:rPr>
          <w:rFonts w:ascii="Garamond" w:hAnsi="Garamond"/>
        </w:rPr>
        <w:t>)</w:t>
      </w:r>
      <w:r w:rsidR="00FD3BBD" w:rsidRPr="00AE25FE">
        <w:rPr>
          <w:rFonts w:ascii="Garamond" w:hAnsi="Garamond"/>
        </w:rPr>
        <w:t xml:space="preserve"> </w:t>
      </w:r>
    </w:p>
    <w:p w:rsidR="001A78B0" w:rsidRPr="001A78B0" w:rsidRDefault="001A78B0" w:rsidP="001A78B0">
      <w:pPr>
        <w:rPr>
          <w:rFonts w:ascii="Garamond" w:hAnsi="Garamond"/>
        </w:rPr>
      </w:pPr>
    </w:p>
    <w:p w:rsidR="00FD3BBD" w:rsidRPr="00AE25FE" w:rsidRDefault="00FD3BBD" w:rsidP="00FD3BBD">
      <w:pPr>
        <w:pStyle w:val="ListParagraph"/>
        <w:numPr>
          <w:ilvl w:val="0"/>
          <w:numId w:val="27"/>
        </w:numPr>
        <w:rPr>
          <w:rFonts w:ascii="Garamond" w:hAnsi="Garamond"/>
        </w:rPr>
      </w:pPr>
      <w:r w:rsidRPr="00AE25FE">
        <w:rPr>
          <w:rFonts w:ascii="Garamond" w:hAnsi="Garamond"/>
        </w:rPr>
        <w:t xml:space="preserve">The total information transactions within the unit need to be continuously counted and sorted into manual and electronic. </w:t>
      </w:r>
    </w:p>
    <w:p w:rsidR="000867B8" w:rsidRPr="00AE25FE" w:rsidRDefault="000867B8" w:rsidP="00627D80">
      <w:pPr>
        <w:rPr>
          <w:rFonts w:ascii="Garamond" w:hAnsi="Garamond"/>
        </w:rPr>
      </w:pPr>
    </w:p>
    <w:p w:rsidR="005962C2" w:rsidRPr="00AE25FE" w:rsidRDefault="000867B8" w:rsidP="00627D80">
      <w:pPr>
        <w:rPr>
          <w:rFonts w:ascii="Garamond" w:hAnsi="Garamond"/>
        </w:rPr>
      </w:pPr>
      <w:r w:rsidRPr="00AE25FE">
        <w:rPr>
          <w:rFonts w:ascii="Garamond" w:hAnsi="Garamond"/>
        </w:rPr>
        <w:t xml:space="preserve">The </w:t>
      </w:r>
      <w:r w:rsidR="006F2241" w:rsidRPr="00AE25FE">
        <w:rPr>
          <w:rFonts w:ascii="Garamond" w:hAnsi="Garamond"/>
        </w:rPr>
        <w:t>important</w:t>
      </w:r>
      <w:r w:rsidRPr="00AE25FE">
        <w:rPr>
          <w:rFonts w:ascii="Garamond" w:hAnsi="Garamond"/>
        </w:rPr>
        <w:t xml:space="preserve"> idea is that measurement of the attributes can be cast in terms of</w:t>
      </w:r>
      <w:r w:rsidR="00C647B5" w:rsidRPr="00AE25FE">
        <w:rPr>
          <w:rFonts w:ascii="Garamond" w:hAnsi="Garamond"/>
        </w:rPr>
        <w:t xml:space="preserve"> “transactions” or data flows.  C</w:t>
      </w:r>
      <w:r w:rsidR="00656EBC" w:rsidRPr="00AE25FE">
        <w:rPr>
          <w:rFonts w:ascii="Garamond" w:hAnsi="Garamond"/>
        </w:rPr>
        <w:t>onsider</w:t>
      </w:r>
      <w:r w:rsidR="005962C2" w:rsidRPr="00AE25FE">
        <w:rPr>
          <w:rFonts w:ascii="Garamond" w:hAnsi="Garamond"/>
        </w:rPr>
        <w:t xml:space="preserve"> </w:t>
      </w:r>
      <w:r w:rsidR="00C647B5" w:rsidRPr="00AE25FE">
        <w:rPr>
          <w:rFonts w:ascii="Garamond" w:hAnsi="Garamond"/>
        </w:rPr>
        <w:t xml:space="preserve">how </w:t>
      </w:r>
      <w:r w:rsidR="005962C2" w:rsidRPr="00AE25FE">
        <w:rPr>
          <w:rFonts w:ascii="Garamond" w:hAnsi="Garamond"/>
        </w:rPr>
        <w:t>selected attributes from Table 2</w:t>
      </w:r>
      <w:r w:rsidRPr="00AE25FE">
        <w:rPr>
          <w:rFonts w:ascii="Garamond" w:hAnsi="Garamond"/>
        </w:rPr>
        <w:t xml:space="preserve"> </w:t>
      </w:r>
      <w:r w:rsidR="00C647B5" w:rsidRPr="00AE25FE">
        <w:rPr>
          <w:rFonts w:ascii="Garamond" w:hAnsi="Garamond"/>
        </w:rPr>
        <w:t>may be</w:t>
      </w:r>
      <w:r w:rsidR="006F2241" w:rsidRPr="00AE25FE">
        <w:rPr>
          <w:rFonts w:ascii="Garamond" w:hAnsi="Garamond"/>
        </w:rPr>
        <w:t xml:space="preserve"> expressed as information flows</w:t>
      </w:r>
      <w:r w:rsidR="00F00DC7" w:rsidRPr="00AE25FE">
        <w:rPr>
          <w:rFonts w:ascii="Garamond" w:hAnsi="Garamond"/>
        </w:rPr>
        <w:t>:</w:t>
      </w:r>
    </w:p>
    <w:p w:rsidR="00D15F0D" w:rsidRPr="00AE25FE" w:rsidRDefault="00D15F0D" w:rsidP="00A83FFC">
      <w:pPr>
        <w:ind w:left="720"/>
        <w:rPr>
          <w:rFonts w:ascii="Garamond" w:hAnsi="Garamond"/>
        </w:rPr>
      </w:pPr>
    </w:p>
    <w:p w:rsidR="00A83FFC" w:rsidRPr="00AE25FE" w:rsidRDefault="00A83FFC" w:rsidP="004169B7">
      <w:pPr>
        <w:pStyle w:val="ListParagraph"/>
        <w:numPr>
          <w:ilvl w:val="0"/>
          <w:numId w:val="28"/>
        </w:numPr>
        <w:rPr>
          <w:rStyle w:val="SubtleEmphasis"/>
          <w:rFonts w:ascii="Garamond" w:hAnsi="Garamond"/>
          <w:i w:val="0"/>
          <w:color w:val="auto"/>
        </w:rPr>
      </w:pPr>
      <w:r w:rsidRPr="00AE25FE">
        <w:rPr>
          <w:rStyle w:val="SubtleEmphasis"/>
          <w:rFonts w:ascii="Garamond" w:hAnsi="Garamond"/>
          <w:iCs w:val="0"/>
          <w:color w:val="auto"/>
        </w:rPr>
        <w:t xml:space="preserve">Patient information </w:t>
      </w:r>
      <w:r w:rsidRPr="00AE25FE">
        <w:rPr>
          <w:rStyle w:val="SubtleEmphasis"/>
          <w:rFonts w:ascii="Garamond" w:hAnsi="Garamond"/>
          <w:i w:val="0"/>
          <w:iCs w:val="0"/>
          <w:color w:val="auto"/>
        </w:rPr>
        <w:t>(</w:t>
      </w:r>
      <w:r w:rsidRPr="00AE25FE">
        <w:rPr>
          <w:rStyle w:val="SubtleEmphasis"/>
          <w:rFonts w:ascii="Garamond" w:eastAsiaTheme="majorEastAsia" w:hAnsi="Garamond"/>
          <w:i w:val="0"/>
          <w:iCs w:val="0"/>
          <w:color w:val="auto"/>
        </w:rPr>
        <w:t xml:space="preserve">patient demographics, medical/surgical history, allergy record, family history, </w:t>
      </w:r>
      <w:r w:rsidRPr="00AE25FE">
        <w:rPr>
          <w:rStyle w:val="SubtleEmphasis"/>
          <w:rFonts w:ascii="Garamond" w:hAnsi="Garamond"/>
          <w:i w:val="0"/>
          <w:iCs w:val="0"/>
          <w:color w:val="auto"/>
        </w:rPr>
        <w:t>genetic tests</w:t>
      </w:r>
      <w:r w:rsidRPr="00AE25FE">
        <w:rPr>
          <w:rFonts w:ascii="Garamond" w:hAnsi="Garamond"/>
          <w:iCs/>
        </w:rPr>
        <w:t xml:space="preserve">, etc.).  Patient information typically requires initial manual input as a result of interviews.  HIT should eliminate the need to repeat </w:t>
      </w:r>
      <w:r w:rsidR="00656EBC" w:rsidRPr="00AE25FE">
        <w:rPr>
          <w:rFonts w:ascii="Garamond" w:hAnsi="Garamond"/>
          <w:iCs/>
        </w:rPr>
        <w:t xml:space="preserve">this manual collection and information exchanges will be electronic.  Updates (new </w:t>
      </w:r>
      <w:r w:rsidR="004169B7" w:rsidRPr="00AE25FE">
        <w:rPr>
          <w:rFonts w:ascii="Garamond" w:hAnsi="Garamond"/>
          <w:iCs/>
        </w:rPr>
        <w:t>conditions, treatment, outcomes) entered electronically replace the need for manual verification and updating.</w:t>
      </w:r>
    </w:p>
    <w:p w:rsidR="00A83FFC" w:rsidRPr="00AE25FE" w:rsidRDefault="00A83FFC" w:rsidP="00A83FFC">
      <w:pPr>
        <w:pStyle w:val="ListParagraph"/>
        <w:rPr>
          <w:rStyle w:val="SubtleEmphasis"/>
          <w:rFonts w:ascii="Garamond" w:hAnsi="Garamond"/>
          <w:i w:val="0"/>
          <w:iCs w:val="0"/>
          <w:color w:val="auto"/>
        </w:rPr>
      </w:pPr>
    </w:p>
    <w:p w:rsidR="00D15F0D" w:rsidRPr="00AE25FE" w:rsidRDefault="00D15F0D" w:rsidP="00D15F0D">
      <w:pPr>
        <w:pStyle w:val="ListParagraph"/>
        <w:numPr>
          <w:ilvl w:val="0"/>
          <w:numId w:val="28"/>
        </w:numPr>
        <w:rPr>
          <w:rFonts w:ascii="Garamond" w:hAnsi="Garamond"/>
        </w:rPr>
      </w:pPr>
      <w:r w:rsidRPr="00AE25FE">
        <w:rPr>
          <w:rStyle w:val="SubtleEmphasis"/>
          <w:rFonts w:ascii="Garamond" w:hAnsi="Garamond"/>
          <w:iCs w:val="0"/>
          <w:color w:val="auto"/>
        </w:rPr>
        <w:t>Decision support</w:t>
      </w:r>
      <w:r w:rsidRPr="00AE25FE">
        <w:rPr>
          <w:rFonts w:ascii="Garamond" w:hAnsi="Garamond"/>
        </w:rPr>
        <w:t xml:space="preserve"> (</w:t>
      </w:r>
      <w:r w:rsidR="003712D8" w:rsidRPr="00AE25FE">
        <w:rPr>
          <w:rStyle w:val="SubtleEmphasis"/>
          <w:rFonts w:ascii="Garamond" w:hAnsi="Garamond"/>
          <w:i w:val="0"/>
          <w:iCs w:val="0"/>
          <w:color w:val="auto"/>
        </w:rPr>
        <w:t>screening</w:t>
      </w:r>
      <w:r w:rsidRPr="00AE25FE">
        <w:rPr>
          <w:rStyle w:val="SubtleEmphasis"/>
          <w:rFonts w:ascii="Garamond" w:hAnsi="Garamond"/>
          <w:i w:val="0"/>
          <w:iCs w:val="0"/>
          <w:color w:val="auto"/>
        </w:rPr>
        <w:t xml:space="preserve"> scheduling </w:t>
      </w:r>
      <w:r w:rsidR="003712D8"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based on patient demographics and family history</w:t>
      </w:r>
      <w:r w:rsidR="003712D8" w:rsidRPr="00AE25FE">
        <w:rPr>
          <w:rStyle w:val="SubtleEmphasis"/>
          <w:rFonts w:ascii="Garamond" w:hAnsi="Garamond"/>
          <w:i w:val="0"/>
          <w:iCs w:val="0"/>
          <w:color w:val="auto"/>
        </w:rPr>
        <w:t xml:space="preserve"> </w:t>
      </w:r>
      <w:r w:rsidR="00840DC4" w:rsidRPr="00AE25FE">
        <w:rPr>
          <w:rStyle w:val="SubtleEmphasis"/>
          <w:rFonts w:ascii="Garamond" w:hAnsi="Garamond"/>
          <w:i w:val="0"/>
          <w:iCs w:val="0"/>
          <w:color w:val="auto"/>
        </w:rPr>
        <w:t xml:space="preserve">can support </w:t>
      </w:r>
      <w:r w:rsidRPr="00AE25FE">
        <w:rPr>
          <w:rStyle w:val="SubtleEmphasis"/>
          <w:rFonts w:ascii="Garamond" w:hAnsi="Garamond"/>
          <w:i w:val="0"/>
          <w:iCs w:val="0"/>
          <w:color w:val="auto"/>
        </w:rPr>
        <w:t>chronic care testing moni</w:t>
      </w:r>
      <w:r w:rsidR="003712D8" w:rsidRPr="00AE25FE">
        <w:rPr>
          <w:rStyle w:val="SubtleEmphasis"/>
          <w:rFonts w:ascii="Garamond" w:hAnsi="Garamond"/>
          <w:i w:val="0"/>
          <w:iCs w:val="0"/>
          <w:color w:val="auto"/>
        </w:rPr>
        <w:t xml:space="preserve">toring and </w:t>
      </w:r>
      <w:r w:rsidRPr="00AE25FE">
        <w:rPr>
          <w:rStyle w:val="SubtleEmphasis"/>
          <w:rFonts w:ascii="Garamond" w:hAnsi="Garamond"/>
          <w:i w:val="0"/>
          <w:iCs w:val="0"/>
          <w:color w:val="auto"/>
        </w:rPr>
        <w:t>medical management across classes of patients</w:t>
      </w:r>
      <w:r w:rsidRPr="00AE25FE">
        <w:rPr>
          <w:rFonts w:ascii="Garamond" w:hAnsi="Garamond"/>
        </w:rPr>
        <w:t>)</w:t>
      </w:r>
      <w:r w:rsidR="003712D8" w:rsidRPr="00AE25FE">
        <w:rPr>
          <w:rFonts w:ascii="Garamond" w:hAnsi="Garamond"/>
        </w:rPr>
        <w:t>.</w:t>
      </w:r>
      <w:r w:rsidRPr="00AE25FE">
        <w:rPr>
          <w:rFonts w:ascii="Garamond" w:hAnsi="Garamond"/>
        </w:rPr>
        <w:t xml:space="preserve"> The </w:t>
      </w:r>
      <w:proofErr w:type="gramStart"/>
      <w:r w:rsidRPr="00AE25FE">
        <w:rPr>
          <w:rFonts w:ascii="Garamond" w:hAnsi="Garamond"/>
        </w:rPr>
        <w:t>extent</w:t>
      </w:r>
      <w:proofErr w:type="gramEnd"/>
      <w:r w:rsidRPr="00AE25FE">
        <w:rPr>
          <w:rFonts w:ascii="Garamond" w:hAnsi="Garamond"/>
        </w:rPr>
        <w:t xml:space="preserve"> </w:t>
      </w:r>
      <w:r w:rsidR="003712D8" w:rsidRPr="00AE25FE">
        <w:rPr>
          <w:rFonts w:ascii="Garamond" w:hAnsi="Garamond"/>
        </w:rPr>
        <w:t xml:space="preserve">to </w:t>
      </w:r>
      <w:r w:rsidRPr="00AE25FE">
        <w:rPr>
          <w:rFonts w:ascii="Garamond" w:hAnsi="Garamond"/>
        </w:rPr>
        <w:t>which the implemented HIT supports screening function</w:t>
      </w:r>
      <w:r w:rsidR="00A83FFC" w:rsidRPr="00AE25FE">
        <w:rPr>
          <w:rFonts w:ascii="Garamond" w:hAnsi="Garamond"/>
        </w:rPr>
        <w:t xml:space="preserve">s based on </w:t>
      </w:r>
      <w:r w:rsidRPr="00AE25FE">
        <w:rPr>
          <w:rFonts w:ascii="Garamond" w:hAnsi="Garamond"/>
        </w:rPr>
        <w:t>patient demographics, history</w:t>
      </w:r>
      <w:r w:rsidR="003712D8" w:rsidRPr="00AE25FE">
        <w:rPr>
          <w:rFonts w:ascii="Garamond" w:hAnsi="Garamond"/>
        </w:rPr>
        <w:t>,</w:t>
      </w:r>
      <w:r w:rsidRPr="00AE25FE">
        <w:rPr>
          <w:rFonts w:ascii="Garamond" w:hAnsi="Garamond"/>
        </w:rPr>
        <w:t xml:space="preserve"> and standards of primary care</w:t>
      </w:r>
      <w:r w:rsidR="003712D8" w:rsidRPr="00AE25FE">
        <w:rPr>
          <w:rFonts w:ascii="Garamond" w:hAnsi="Garamond"/>
        </w:rPr>
        <w:t>,</w:t>
      </w:r>
      <w:r w:rsidR="00A83FFC" w:rsidRPr="00AE25FE">
        <w:rPr>
          <w:rFonts w:ascii="Garamond" w:hAnsi="Garamond"/>
        </w:rPr>
        <w:t xml:space="preserve"> and issues reminders electronically to the physician, represents an added dimension to typical primary care practice.  Compared to primary care in traditional settings, screening often relied on the provider to remember to indicate to the patient the need for screening. The existence of algorithms to remind providers </w:t>
      </w:r>
      <w:r w:rsidR="00F00DC7" w:rsidRPr="00AE25FE">
        <w:rPr>
          <w:rFonts w:ascii="Garamond" w:hAnsi="Garamond"/>
        </w:rPr>
        <w:t xml:space="preserve">to schedule tests </w:t>
      </w:r>
      <w:r w:rsidR="00A83FFC" w:rsidRPr="00AE25FE">
        <w:rPr>
          <w:rFonts w:ascii="Garamond" w:hAnsi="Garamond"/>
        </w:rPr>
        <w:t>represent</w:t>
      </w:r>
      <w:r w:rsidR="00F00DC7" w:rsidRPr="00AE25FE">
        <w:rPr>
          <w:rFonts w:ascii="Garamond" w:hAnsi="Garamond"/>
        </w:rPr>
        <w:t>s</w:t>
      </w:r>
      <w:r w:rsidR="00A83FFC" w:rsidRPr="00AE25FE">
        <w:rPr>
          <w:rFonts w:ascii="Garamond" w:hAnsi="Garamond"/>
        </w:rPr>
        <w:t xml:space="preserve"> additional dimensions that previously did not exist.  If the HIT uses patient a</w:t>
      </w:r>
      <w:r w:rsidR="00C861E3" w:rsidRPr="00AE25FE">
        <w:rPr>
          <w:rFonts w:ascii="Garamond" w:hAnsi="Garamond"/>
        </w:rPr>
        <w:t>vailability</w:t>
      </w:r>
      <w:r w:rsidR="00A83FFC" w:rsidRPr="00AE25FE">
        <w:rPr>
          <w:rFonts w:ascii="Garamond" w:hAnsi="Garamond"/>
        </w:rPr>
        <w:t xml:space="preserve"> (obtained at the time of the visit) and schedules the screening with other providers, electronic information transactions replace manual appointment scheduling.</w:t>
      </w:r>
      <w:r w:rsidR="00F00DC7" w:rsidRPr="00AE25FE">
        <w:rPr>
          <w:rFonts w:ascii="Garamond" w:hAnsi="Garamond"/>
        </w:rPr>
        <w:t xml:space="preserve"> The portability of patient attributes supports this functionality as patients move among providers.</w:t>
      </w:r>
    </w:p>
    <w:p w:rsidR="00CC3D1B" w:rsidRPr="00AE25FE" w:rsidRDefault="00CC3D1B" w:rsidP="005704B1">
      <w:pPr>
        <w:rPr>
          <w:rFonts w:ascii="Garamond" w:hAnsi="Garamond"/>
        </w:rPr>
      </w:pPr>
    </w:p>
    <w:p w:rsidR="00211588" w:rsidRPr="00AE25FE" w:rsidRDefault="00211588" w:rsidP="005704B1">
      <w:pPr>
        <w:rPr>
          <w:rFonts w:ascii="Garamond" w:hAnsi="Garamond"/>
        </w:rPr>
      </w:pPr>
      <w:r w:rsidRPr="00AE25FE">
        <w:rPr>
          <w:rFonts w:ascii="Garamond" w:hAnsi="Garamond"/>
        </w:rPr>
        <w:t>Th</w:t>
      </w:r>
      <w:r w:rsidR="002C7A28" w:rsidRPr="00AE25FE">
        <w:rPr>
          <w:rFonts w:ascii="Garamond" w:hAnsi="Garamond"/>
        </w:rPr>
        <w:t xml:space="preserve">is </w:t>
      </w:r>
      <w:r w:rsidRPr="00AE25FE">
        <w:rPr>
          <w:rFonts w:ascii="Garamond" w:hAnsi="Garamond"/>
        </w:rPr>
        <w:t>concept of maturity rests on transactions and information flows.  The other element of HIT implementation is the idea of interoperability, which can</w:t>
      </w:r>
      <w:r w:rsidR="00085C98" w:rsidRPr="00AE25FE">
        <w:rPr>
          <w:rFonts w:ascii="Garamond" w:hAnsi="Garamond"/>
        </w:rPr>
        <w:t xml:space="preserve"> </w:t>
      </w:r>
      <w:r w:rsidRPr="00AE25FE">
        <w:rPr>
          <w:rFonts w:ascii="Garamond" w:hAnsi="Garamond"/>
        </w:rPr>
        <w:t>be represented also as transactions and information flows.</w:t>
      </w:r>
      <w:r w:rsidR="00085C98" w:rsidRPr="00AE25FE">
        <w:rPr>
          <w:rFonts w:ascii="Garamond" w:hAnsi="Garamond"/>
        </w:rPr>
        <w:t xml:space="preserve"> This leads to the proposition that both aspects of HIT implementation may be represented by the same information exchange metric. </w:t>
      </w:r>
    </w:p>
    <w:p w:rsidR="00CC3D1B" w:rsidRPr="00AE25FE" w:rsidRDefault="00CC3D1B" w:rsidP="00180A71">
      <w:pPr>
        <w:pStyle w:val="Heading1"/>
        <w:numPr>
          <w:ilvl w:val="0"/>
          <w:numId w:val="0"/>
        </w:numPr>
        <w:ind w:left="720" w:hanging="720"/>
        <w:rPr>
          <w:rStyle w:val="SubtleEmphasis"/>
          <w:rFonts w:ascii="Garamond" w:hAnsi="Garamond"/>
          <w:i w:val="0"/>
          <w:iCs w:val="0"/>
          <w:color w:val="auto"/>
          <w:sz w:val="28"/>
        </w:rPr>
      </w:pPr>
      <w:bookmarkStart w:id="7" w:name="_Toc323718557"/>
      <w:r w:rsidRPr="00AE25FE">
        <w:rPr>
          <w:rStyle w:val="SubtleEmphasis"/>
          <w:rFonts w:ascii="Garamond" w:hAnsi="Garamond"/>
          <w:i w:val="0"/>
          <w:iCs w:val="0"/>
          <w:color w:val="auto"/>
          <w:sz w:val="28"/>
        </w:rPr>
        <w:lastRenderedPageBreak/>
        <w:t>Interoperability</w:t>
      </w:r>
      <w:bookmarkEnd w:id="7"/>
      <w:r w:rsidRPr="00AE25FE">
        <w:rPr>
          <w:rStyle w:val="SubtleEmphasis"/>
          <w:rFonts w:ascii="Garamond" w:hAnsi="Garamond"/>
          <w:i w:val="0"/>
          <w:iCs w:val="0"/>
          <w:color w:val="auto"/>
          <w:sz w:val="28"/>
        </w:rPr>
        <w:t xml:space="preserve"> </w:t>
      </w:r>
    </w:p>
    <w:p w:rsidR="00CC3D1B" w:rsidRPr="00AE25FE" w:rsidRDefault="00CC3D1B" w:rsidP="00823DE3">
      <w:pPr>
        <w:rPr>
          <w:rFonts w:ascii="Garamond" w:hAnsi="Garamond"/>
        </w:rPr>
      </w:pPr>
    </w:p>
    <w:p w:rsidR="00CC3D1B" w:rsidRPr="00AE25FE" w:rsidRDefault="00CC3D1B" w:rsidP="00823DE3">
      <w:pPr>
        <w:rPr>
          <w:rFonts w:ascii="Garamond" w:hAnsi="Garamond"/>
        </w:rPr>
      </w:pPr>
      <w:r w:rsidRPr="00AE25FE">
        <w:rPr>
          <w:rStyle w:val="SubtleEmphasis"/>
          <w:rFonts w:ascii="Garamond" w:hAnsi="Garamond"/>
          <w:i w:val="0"/>
          <w:iCs w:val="0"/>
          <w:color w:val="auto"/>
        </w:rPr>
        <w:t xml:space="preserve">The term “interoperability” refers to the extent to which system elements connect and communicate.  In the context of eHealth, the idea refers to the capacity and existence of the diverse elements (nodes) of the health care system to exchange and act on information collected and archived at each node. </w:t>
      </w:r>
      <w:r w:rsidR="00AE5739" w:rsidRPr="00AE25FE">
        <w:rPr>
          <w:rStyle w:val="SubtleEmphasis"/>
          <w:rFonts w:ascii="Garamond" w:hAnsi="Garamond"/>
          <w:i w:val="0"/>
          <w:iCs w:val="0"/>
          <w:color w:val="auto"/>
        </w:rPr>
        <w:t>The central idea of this paper is that a</w:t>
      </w:r>
      <w:r w:rsidRPr="00AE25FE">
        <w:rPr>
          <w:rStyle w:val="SubtleEmphasis"/>
          <w:rFonts w:ascii="Garamond" w:hAnsi="Garamond"/>
          <w:i w:val="0"/>
          <w:iCs w:val="0"/>
          <w:color w:val="auto"/>
        </w:rPr>
        <w:t xml:space="preserve"> node may be a</w:t>
      </w:r>
      <w:r w:rsidR="0069398A" w:rsidRPr="00AE25FE">
        <w:rPr>
          <w:rStyle w:val="SubtleEmphasis"/>
          <w:rFonts w:ascii="Garamond" w:hAnsi="Garamond"/>
          <w:i w:val="0"/>
          <w:iCs w:val="0"/>
          <w:color w:val="auto"/>
        </w:rPr>
        <w:t xml:space="preserve"> practitioner with</w:t>
      </w:r>
      <w:r w:rsidR="00840DC4" w:rsidRPr="00AE25FE">
        <w:rPr>
          <w:rStyle w:val="SubtleEmphasis"/>
          <w:rFonts w:ascii="Garamond" w:hAnsi="Garamond"/>
          <w:i w:val="0"/>
          <w:iCs w:val="0"/>
          <w:color w:val="auto"/>
        </w:rPr>
        <w:t>in</w:t>
      </w:r>
      <w:r w:rsidR="0069398A" w:rsidRPr="00AE25FE">
        <w:rPr>
          <w:rStyle w:val="SubtleEmphasis"/>
          <w:rFonts w:ascii="Garamond" w:hAnsi="Garamond"/>
          <w:i w:val="0"/>
          <w:iCs w:val="0"/>
          <w:color w:val="auto"/>
        </w:rPr>
        <w:t xml:space="preserve"> a</w:t>
      </w:r>
      <w:r w:rsidRPr="00AE25FE">
        <w:rPr>
          <w:rStyle w:val="SubtleEmphasis"/>
          <w:rFonts w:ascii="Garamond" w:hAnsi="Garamond"/>
          <w:i w:val="0"/>
          <w:iCs w:val="0"/>
          <w:color w:val="auto"/>
        </w:rPr>
        <w:t xml:space="preserve"> clinic, </w:t>
      </w:r>
      <w:r w:rsidR="00AE5739" w:rsidRPr="00AE25FE">
        <w:rPr>
          <w:rStyle w:val="SubtleEmphasis"/>
          <w:rFonts w:ascii="Garamond" w:hAnsi="Garamond"/>
          <w:i w:val="0"/>
          <w:iCs w:val="0"/>
          <w:color w:val="auto"/>
        </w:rPr>
        <w:t xml:space="preserve">the clinic </w:t>
      </w:r>
      <w:r w:rsidR="00840DC4" w:rsidRPr="00AE25FE">
        <w:rPr>
          <w:rStyle w:val="SubtleEmphasis"/>
          <w:rFonts w:ascii="Garamond" w:hAnsi="Garamond"/>
          <w:i w:val="0"/>
          <w:iCs w:val="0"/>
          <w:color w:val="auto"/>
        </w:rPr>
        <w:t>itself</w:t>
      </w:r>
      <w:r w:rsidR="00840DC4" w:rsidRPr="00AE25FE">
        <w:rPr>
          <w:rStyle w:val="SubtleEmphasis"/>
          <w:rFonts w:ascii="Garamond" w:hAnsi="Garamond"/>
          <w:b/>
          <w:i w:val="0"/>
          <w:iCs w:val="0"/>
          <w:color w:val="FF0000"/>
          <w:sz w:val="36"/>
        </w:rPr>
        <w:t xml:space="preserve"> </w:t>
      </w:r>
      <w:r w:rsidR="00AE5739" w:rsidRPr="00AE25FE">
        <w:rPr>
          <w:rStyle w:val="SubtleEmphasis"/>
          <w:rFonts w:ascii="Garamond" w:hAnsi="Garamond"/>
          <w:i w:val="0"/>
          <w:iCs w:val="0"/>
          <w:color w:val="auto"/>
        </w:rPr>
        <w:t xml:space="preserve">comprising several practitioners, </w:t>
      </w:r>
      <w:r w:rsidRPr="00AE25FE">
        <w:rPr>
          <w:rStyle w:val="SubtleEmphasis"/>
          <w:rFonts w:ascii="Garamond" w:hAnsi="Garamond"/>
          <w:i w:val="0"/>
          <w:iCs w:val="0"/>
          <w:color w:val="auto"/>
        </w:rPr>
        <w:t>diagnostic</w:t>
      </w:r>
      <w:r w:rsidR="00AE5739" w:rsidRPr="00AE25FE">
        <w:rPr>
          <w:rStyle w:val="SubtleEmphasis"/>
          <w:rFonts w:ascii="Garamond" w:hAnsi="Garamond"/>
          <w:i w:val="0"/>
          <w:iCs w:val="0"/>
          <w:color w:val="auto"/>
        </w:rPr>
        <w:t xml:space="preserve"> and service units (</w:t>
      </w:r>
      <w:proofErr w:type="spellStart"/>
      <w:r w:rsidR="00AE5739" w:rsidRPr="00AE25FE">
        <w:rPr>
          <w:rStyle w:val="SubtleEmphasis"/>
          <w:rFonts w:ascii="Garamond" w:hAnsi="Garamond"/>
          <w:i w:val="0"/>
          <w:iCs w:val="0"/>
          <w:color w:val="auto"/>
        </w:rPr>
        <w:t>eg</w:t>
      </w:r>
      <w:proofErr w:type="spellEnd"/>
      <w:r w:rsidR="00AE5739" w:rsidRPr="00AE25FE">
        <w:rPr>
          <w:rStyle w:val="SubtleEmphasis"/>
          <w:rFonts w:ascii="Garamond" w:hAnsi="Garamond"/>
          <w:i w:val="0"/>
          <w:iCs w:val="0"/>
          <w:color w:val="auto"/>
        </w:rPr>
        <w:t xml:space="preserve">., </w:t>
      </w:r>
      <w:r w:rsidRPr="00AE25FE">
        <w:rPr>
          <w:rStyle w:val="SubtleEmphasis"/>
          <w:rFonts w:ascii="Garamond" w:hAnsi="Garamond"/>
          <w:i w:val="0"/>
          <w:iCs w:val="0"/>
          <w:color w:val="auto"/>
        </w:rPr>
        <w:t>laboratory,</w:t>
      </w:r>
      <w:r w:rsidR="00AE5739" w:rsidRPr="00AE25FE">
        <w:rPr>
          <w:rStyle w:val="SubtleEmphasis"/>
          <w:rFonts w:ascii="Garamond" w:hAnsi="Garamond"/>
          <w:i w:val="0"/>
          <w:iCs w:val="0"/>
          <w:color w:val="auto"/>
        </w:rPr>
        <w:t xml:space="preserve"> pharmacy)</w:t>
      </w:r>
      <w:r w:rsidR="00C861E3"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or </w:t>
      </w:r>
      <w:r w:rsidR="00840DC4" w:rsidRPr="00AE25FE">
        <w:rPr>
          <w:rStyle w:val="SubtleEmphasis"/>
          <w:rFonts w:ascii="Garamond" w:hAnsi="Garamond"/>
          <w:i w:val="0"/>
          <w:iCs w:val="0"/>
          <w:color w:val="auto"/>
        </w:rPr>
        <w:t xml:space="preserve">an large </w:t>
      </w:r>
      <w:r w:rsidR="00840DC4" w:rsidRPr="00AE25FE">
        <w:rPr>
          <w:rFonts w:ascii="Garamond" w:hAnsi="Garamond"/>
        </w:rPr>
        <w:t>hospital with many internal nodes</w:t>
      </w:r>
      <w:r w:rsidRPr="00AE25FE">
        <w:rPr>
          <w:rFonts w:ascii="Garamond" w:hAnsi="Garamond"/>
        </w:rPr>
        <w:t xml:space="preserve">. </w:t>
      </w:r>
    </w:p>
    <w:p w:rsidR="00CC3D1B" w:rsidRPr="00AE25FE" w:rsidRDefault="00CC3D1B" w:rsidP="00111F31">
      <w:pPr>
        <w:rPr>
          <w:rStyle w:val="SubtleEmphasis"/>
          <w:rFonts w:ascii="Garamond" w:hAnsi="Garamond"/>
          <w:i w:val="0"/>
          <w:iCs w:val="0"/>
          <w:color w:val="auto"/>
        </w:rPr>
      </w:pPr>
    </w:p>
    <w:p w:rsidR="004449B4" w:rsidRPr="00AE25FE" w:rsidRDefault="004449B4" w:rsidP="00DA1AD9">
      <w:pPr>
        <w:rPr>
          <w:rFonts w:ascii="Garamond" w:hAnsi="Garamond"/>
          <w:b/>
        </w:rPr>
      </w:pPr>
      <w:r w:rsidRPr="00AE25FE">
        <w:rPr>
          <w:rFonts w:ascii="Garamond" w:hAnsi="Garamond"/>
        </w:rPr>
        <w:tab/>
      </w:r>
      <w:r w:rsidRPr="00AE25FE">
        <w:rPr>
          <w:rFonts w:ascii="Garamond" w:hAnsi="Garamond"/>
          <w:b/>
        </w:rPr>
        <w:t>A conceptual representation of interoperability</w:t>
      </w:r>
    </w:p>
    <w:p w:rsidR="004449B4" w:rsidRPr="00AE25FE" w:rsidRDefault="004449B4" w:rsidP="00DA1AD9">
      <w:pPr>
        <w:rPr>
          <w:rFonts w:ascii="Garamond" w:hAnsi="Garamond"/>
        </w:rPr>
      </w:pPr>
    </w:p>
    <w:p w:rsidR="00DA1AD9" w:rsidRPr="00AE25FE" w:rsidRDefault="00AE5739" w:rsidP="00DA1AD9">
      <w:pPr>
        <w:rPr>
          <w:rFonts w:ascii="Garamond" w:hAnsi="Garamond"/>
        </w:rPr>
      </w:pPr>
      <w:r w:rsidRPr="00AE25FE">
        <w:rPr>
          <w:rFonts w:ascii="Garamond" w:hAnsi="Garamond"/>
        </w:rPr>
        <w:t xml:space="preserve">Interoperability represents information flows in a directed graph or </w:t>
      </w:r>
      <w:r w:rsidR="00CC3D1B" w:rsidRPr="00AE25FE">
        <w:rPr>
          <w:rFonts w:ascii="Garamond" w:hAnsi="Garamond"/>
        </w:rPr>
        <w:t>“</w:t>
      </w:r>
      <w:r w:rsidRPr="00AE25FE">
        <w:rPr>
          <w:rFonts w:ascii="Garamond" w:hAnsi="Garamond"/>
        </w:rPr>
        <w:t>digraph</w:t>
      </w:r>
      <w:r w:rsidR="00955738" w:rsidRPr="00AE25FE">
        <w:rPr>
          <w:rFonts w:ascii="Garamond" w:hAnsi="Garamond"/>
        </w:rPr>
        <w:t>,</w:t>
      </w:r>
      <w:r w:rsidRPr="00AE25FE">
        <w:rPr>
          <w:rFonts w:ascii="Garamond" w:hAnsi="Garamond"/>
        </w:rPr>
        <w:t>” such as appears in Figure 3</w:t>
      </w:r>
      <w:r w:rsidR="00DA1AD9" w:rsidRPr="00AE25FE">
        <w:rPr>
          <w:rFonts w:ascii="Garamond" w:hAnsi="Garamond"/>
        </w:rPr>
        <w:t>.</w:t>
      </w:r>
      <w:r w:rsidRPr="00AE25FE">
        <w:rPr>
          <w:rFonts w:ascii="Garamond" w:hAnsi="Garamond"/>
        </w:rPr>
        <w:t xml:space="preserve"> </w:t>
      </w:r>
      <w:r w:rsidR="00DA1AD9" w:rsidRPr="00AE25FE">
        <w:rPr>
          <w:rFonts w:ascii="Garamond" w:hAnsi="Garamond"/>
        </w:rPr>
        <w:t>This graph may apply to information flows within a clinic/hospital/lab</w:t>
      </w:r>
      <w:r w:rsidR="00955738" w:rsidRPr="00AE25FE">
        <w:rPr>
          <w:rFonts w:ascii="Garamond" w:hAnsi="Garamond"/>
        </w:rPr>
        <w:t>,</w:t>
      </w:r>
      <w:r w:rsidR="00DA1AD9" w:rsidRPr="00AE25FE">
        <w:rPr>
          <w:rFonts w:ascii="Garamond" w:hAnsi="Garamond"/>
        </w:rPr>
        <w:t xml:space="preserve"> as well as </w:t>
      </w:r>
      <w:r w:rsidR="00E60B6B" w:rsidRPr="00AE25FE">
        <w:rPr>
          <w:rFonts w:ascii="Garamond" w:hAnsi="Garamond"/>
        </w:rPr>
        <w:t>information flows b</w:t>
      </w:r>
      <w:r w:rsidR="00DA1AD9" w:rsidRPr="00AE25FE">
        <w:rPr>
          <w:rFonts w:ascii="Garamond" w:hAnsi="Garamond"/>
        </w:rPr>
        <w:t>etween these service delivery units.</w:t>
      </w:r>
    </w:p>
    <w:p w:rsidR="00E60B6B" w:rsidRPr="00AE25FE" w:rsidRDefault="00E60B6B" w:rsidP="00DA1AD9">
      <w:pPr>
        <w:rPr>
          <w:rFonts w:ascii="Garamond" w:hAnsi="Garamond"/>
        </w:rPr>
      </w:pPr>
    </w:p>
    <w:p w:rsidR="00DA1AD9" w:rsidRPr="00AE25FE" w:rsidRDefault="00E60B6B" w:rsidP="00DA1AD9">
      <w:pPr>
        <w:rPr>
          <w:rFonts w:ascii="Garamond" w:hAnsi="Garamond"/>
        </w:rPr>
      </w:pPr>
      <w:r w:rsidRPr="00AE25FE">
        <w:rPr>
          <w:rFonts w:ascii="Garamond" w:hAnsi="Garamond"/>
          <w:noProof/>
          <w:lang w:eastAsia="en-CA"/>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2813880" cy="2488223"/>
            <wp:effectExtent l="19050" t="0" r="5520" b="0"/>
            <wp:wrapSquare wrapText="bothSides"/>
            <wp:docPr id="9" name="Picture 8" descr="Basic Interoperabilit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Interoperability.emf"/>
                    <pic:cNvPicPr/>
                  </pic:nvPicPr>
                  <pic:blipFill>
                    <a:blip r:embed="rId21"/>
                    <a:stretch>
                      <a:fillRect/>
                    </a:stretch>
                  </pic:blipFill>
                  <pic:spPr>
                    <a:xfrm>
                      <a:off x="0" y="0"/>
                      <a:ext cx="2813880" cy="2488223"/>
                    </a:xfrm>
                    <a:prstGeom prst="rect">
                      <a:avLst/>
                    </a:prstGeom>
                  </pic:spPr>
                </pic:pic>
              </a:graphicData>
            </a:graphic>
          </wp:anchor>
        </w:drawing>
      </w:r>
      <w:r w:rsidR="00DA1AD9" w:rsidRPr="00AE25FE">
        <w:rPr>
          <w:rFonts w:ascii="Garamond" w:hAnsi="Garamond"/>
        </w:rPr>
        <w:t xml:space="preserve">As a digraph, it is possible to depict the relationships in Figure </w:t>
      </w:r>
      <w:r w:rsidRPr="00AE25FE">
        <w:rPr>
          <w:rFonts w:ascii="Garamond" w:hAnsi="Garamond"/>
        </w:rPr>
        <w:t>3</w:t>
      </w:r>
      <w:r w:rsidR="00DA1AD9" w:rsidRPr="00AE25FE">
        <w:rPr>
          <w:rFonts w:ascii="Garamond" w:hAnsi="Garamond"/>
        </w:rPr>
        <w:t xml:space="preserve"> using an </w:t>
      </w:r>
      <w:r w:rsidR="00DA1AD9" w:rsidRPr="00AE25FE">
        <w:rPr>
          <w:rFonts w:ascii="Garamond" w:hAnsi="Garamond"/>
          <w:i/>
        </w:rPr>
        <w:t>adjacency matrix</w:t>
      </w:r>
      <w:r w:rsidR="00955738" w:rsidRPr="00AE25FE">
        <w:rPr>
          <w:rFonts w:ascii="Garamond" w:hAnsi="Garamond"/>
        </w:rPr>
        <w:t>,</w:t>
      </w:r>
      <w:r w:rsidR="00B11A46" w:rsidRPr="00AE25FE">
        <w:rPr>
          <w:rFonts w:ascii="Garamond" w:hAnsi="Garamond"/>
        </w:rPr>
        <w:t xml:space="preserve"> as shown in Equation 1</w:t>
      </w:r>
      <w:r w:rsidR="00DA1AD9" w:rsidRPr="00AE25FE">
        <w:rPr>
          <w:rFonts w:ascii="Garamond" w:hAnsi="Garamond"/>
        </w:rPr>
        <w:t>.</w:t>
      </w:r>
      <w:r w:rsidR="00DA1AD9" w:rsidRPr="00AE25FE">
        <w:rPr>
          <w:rStyle w:val="FootnoteReference"/>
          <w:rFonts w:ascii="Garamond" w:hAnsi="Garamond"/>
        </w:rPr>
        <w:footnoteReference w:id="13"/>
      </w:r>
      <w:r w:rsidR="00DA1AD9" w:rsidRPr="00AE25FE">
        <w:rPr>
          <w:rFonts w:ascii="Garamond" w:hAnsi="Garamond"/>
        </w:rPr>
        <w:t xml:space="preserve">  Two vertices are adjacent if connected by a communication “line.” Therefore, in Figure </w:t>
      </w:r>
      <w:r w:rsidRPr="00AE25FE">
        <w:rPr>
          <w:rFonts w:ascii="Garamond" w:hAnsi="Garamond"/>
        </w:rPr>
        <w:t>3</w:t>
      </w:r>
      <w:r w:rsidR="00DA1AD9" w:rsidRPr="00AE25FE">
        <w:rPr>
          <w:rFonts w:ascii="Garamond" w:hAnsi="Garamond"/>
        </w:rPr>
        <w:t>, nodes A and B are connected, but neither B&amp;C nor C&amp;E have any connection. The existence of a connection is signalled in a binary notation (0</w:t>
      </w:r>
      <w:proofErr w:type="gramStart"/>
      <w:r w:rsidR="00DA1AD9" w:rsidRPr="00AE25FE">
        <w:rPr>
          <w:rFonts w:ascii="Garamond" w:hAnsi="Garamond"/>
        </w:rPr>
        <w:t>,1</w:t>
      </w:r>
      <w:proofErr w:type="gramEnd"/>
      <w:r w:rsidR="00DA1AD9" w:rsidRPr="00AE25FE">
        <w:rPr>
          <w:rFonts w:ascii="Garamond" w:hAnsi="Garamond"/>
        </w:rPr>
        <w:t>), a quantitative measure using natural numbers (volume of discrete transaction)</w:t>
      </w:r>
      <w:r w:rsidR="00955738" w:rsidRPr="00AE25FE">
        <w:rPr>
          <w:rFonts w:ascii="Garamond" w:hAnsi="Garamond"/>
        </w:rPr>
        <w:t>,</w:t>
      </w:r>
      <w:r w:rsidR="00DA1AD9" w:rsidRPr="00AE25FE">
        <w:rPr>
          <w:rFonts w:ascii="Garamond" w:hAnsi="Garamond"/>
        </w:rPr>
        <w:t xml:space="preserve"> or qualitatively as a relative “strength” (w – weak; m – medium; and s – strong).  In this case</w:t>
      </w:r>
      <w:r w:rsidR="00955738" w:rsidRPr="00AE25FE">
        <w:rPr>
          <w:rFonts w:ascii="Garamond" w:hAnsi="Garamond"/>
        </w:rPr>
        <w:t>,</w:t>
      </w:r>
      <w:r w:rsidR="00DA1AD9" w:rsidRPr="00AE25FE">
        <w:rPr>
          <w:rFonts w:ascii="Garamond" w:hAnsi="Garamond"/>
        </w:rPr>
        <w:t xml:space="preserve"> there are N=5 nodes, with a total of 20 possible two-way lines or </w:t>
      </w:r>
      <w:proofErr w:type="gramStart"/>
      <w:r w:rsidR="00DA1AD9" w:rsidRPr="00AE25FE">
        <w:rPr>
          <w:rFonts w:ascii="Garamond" w:hAnsi="Garamond"/>
        </w:rPr>
        <w:t>N(</w:t>
      </w:r>
      <w:proofErr w:type="gramEnd"/>
      <w:r w:rsidR="00DA1AD9" w:rsidRPr="00AE25FE">
        <w:rPr>
          <w:rFonts w:ascii="Garamond" w:hAnsi="Garamond"/>
        </w:rPr>
        <w:t>N-1).</w:t>
      </w:r>
    </w:p>
    <w:p w:rsidR="00DA1AD9" w:rsidRPr="00AE25FE" w:rsidRDefault="00DA1AD9" w:rsidP="00DA1AD9">
      <w:pPr>
        <w:rPr>
          <w:rFonts w:ascii="Garamond" w:hAnsi="Garamond"/>
        </w:rPr>
      </w:pPr>
    </w:p>
    <w:p w:rsidR="00DA1AD9" w:rsidRPr="00AE25FE" w:rsidRDefault="00DA1AD9" w:rsidP="00DA1AD9">
      <w:pPr>
        <w:rPr>
          <w:rFonts w:ascii="Garamond" w:hAnsi="Garamond"/>
        </w:rPr>
      </w:pPr>
    </w:p>
    <w:p w:rsidR="00E60B6B" w:rsidRPr="00AE25FE" w:rsidRDefault="00E60B6B" w:rsidP="00E60B6B">
      <w:pPr>
        <w:ind w:firstLine="720"/>
        <w:rPr>
          <w:rFonts w:ascii="Garamond" w:hAnsi="Garamond"/>
          <w:b/>
        </w:rPr>
      </w:pPr>
      <w:r w:rsidRPr="00AE25FE">
        <w:rPr>
          <w:rFonts w:ascii="Garamond" w:hAnsi="Garamond"/>
          <w:b/>
        </w:rPr>
        <w:t>Figure 3: Basic interoperability</w:t>
      </w:r>
    </w:p>
    <w:p w:rsidR="00DA1AD9" w:rsidRDefault="00DA1AD9" w:rsidP="00DA1AD9">
      <w:pPr>
        <w:rPr>
          <w:rFonts w:ascii="Garamond" w:hAnsi="Garamond"/>
        </w:rPr>
      </w:pPr>
    </w:p>
    <w:p w:rsidR="00E12892" w:rsidRPr="00AE25FE" w:rsidRDefault="00E12892" w:rsidP="00DA1AD9">
      <w:pPr>
        <w:rPr>
          <w:rFonts w:ascii="Garamond" w:hAnsi="Garamond"/>
        </w:rPr>
      </w:pPr>
    </w:p>
    <w:p w:rsidR="00CC3D1B" w:rsidRPr="00AE25FE" w:rsidRDefault="00CC3D1B" w:rsidP="00E60B6B">
      <w:pPr>
        <w:rPr>
          <w:rFonts w:ascii="Garamond" w:hAnsi="Garamond"/>
        </w:rPr>
      </w:pPr>
      <w:r w:rsidRPr="00AE25FE">
        <w:rPr>
          <w:rFonts w:ascii="Garamond" w:hAnsi="Garamond"/>
        </w:rPr>
        <w:t>The label axes are read “from</w:t>
      </w:r>
      <w:r w:rsidR="004449B4" w:rsidRPr="00AE25FE">
        <w:rPr>
          <w:rFonts w:ascii="Garamond" w:hAnsi="Garamond"/>
        </w:rPr>
        <w:t>-</w:t>
      </w:r>
      <w:r w:rsidRPr="00AE25FE">
        <w:rPr>
          <w:rFonts w:ascii="Garamond" w:hAnsi="Garamond"/>
        </w:rPr>
        <w:t>to”.  Therefore, since a line exists from B to E, one can signal this with a value of 1, but since no line exists that from E to B, it has the value of 0.</w:t>
      </w:r>
      <w:r w:rsidR="009A070C" w:rsidRPr="00AE25FE">
        <w:rPr>
          <w:rFonts w:ascii="Garamond" w:hAnsi="Garamond"/>
        </w:rPr>
        <w:t xml:space="preserve"> The interoperability matrix </w:t>
      </w:r>
      <w:r w:rsidR="004449B4" w:rsidRPr="00AE25FE">
        <w:rPr>
          <w:rFonts w:ascii="Garamond" w:hAnsi="Garamond"/>
        </w:rPr>
        <w:t xml:space="preserve">appears as </w:t>
      </w:r>
      <w:r w:rsidR="00C24AA8" w:rsidRPr="00AE25FE">
        <w:rPr>
          <w:rFonts w:ascii="Garamond" w:hAnsi="Garamond"/>
        </w:rPr>
        <w:t>E</w:t>
      </w:r>
      <w:r w:rsidR="004449B4" w:rsidRPr="00AE25FE">
        <w:rPr>
          <w:rFonts w:ascii="Garamond" w:hAnsi="Garamond"/>
        </w:rPr>
        <w:t>quation 1.</w:t>
      </w:r>
    </w:p>
    <w:p w:rsidR="00CC3D1B" w:rsidRPr="00AE25FE" w:rsidRDefault="00CC3D1B" w:rsidP="004325F1">
      <w:pPr>
        <w:jc w:val="center"/>
        <w:rPr>
          <w:rFonts w:ascii="Garamond" w:hAnsi="Garamond"/>
        </w:rPr>
      </w:pPr>
    </w:p>
    <w:p w:rsidR="00CC3D1B" w:rsidRPr="00AE25FE" w:rsidRDefault="00CC3D1B" w:rsidP="004325F1">
      <w:pPr>
        <w:jc w:val="center"/>
        <w:rPr>
          <w:rFonts w:ascii="Garamond" w:hAnsi="Garamond"/>
        </w:rPr>
      </w:pPr>
      <w:r w:rsidRPr="00AE25FE">
        <w:rPr>
          <w:rFonts w:ascii="Garamond" w:hAnsi="Garamond"/>
          <w:position w:val="-100"/>
        </w:rPr>
        <w:object w:dxaOrig="2880" w:dyaOrig="2120">
          <v:shape id="_x0000_i1027" type="#_x0000_t75" style="width:2in;height:105pt" o:ole="">
            <v:imagedata r:id="rId22" o:title=""/>
          </v:shape>
          <o:OLEObject Type="Embed" ProgID="Equation.DSMT4" ShapeID="_x0000_i1027" DrawAspect="Content" ObjectID="_1408696111" r:id="rId23"/>
        </w:object>
      </w:r>
      <w:r w:rsidRPr="00AE25FE">
        <w:rPr>
          <w:rFonts w:ascii="Garamond" w:hAnsi="Garamond"/>
        </w:rPr>
        <w:tab/>
      </w:r>
      <w:r w:rsidRPr="00AE25FE">
        <w:rPr>
          <w:rFonts w:ascii="Garamond" w:hAnsi="Garamond"/>
        </w:rPr>
        <w:tab/>
        <w:t>(</w:t>
      </w:r>
      <w:r w:rsidR="009A070C" w:rsidRPr="00AE25FE">
        <w:rPr>
          <w:rFonts w:ascii="Garamond" w:hAnsi="Garamond"/>
        </w:rPr>
        <w:t>1</w:t>
      </w:r>
      <w:r w:rsidRPr="00AE25FE">
        <w:rPr>
          <w:rFonts w:ascii="Garamond" w:hAnsi="Garamond"/>
        </w:rPr>
        <w:t>)</w:t>
      </w:r>
    </w:p>
    <w:p w:rsidR="00CC3D1B" w:rsidRPr="00AE25FE" w:rsidRDefault="00CC3D1B" w:rsidP="001B7006">
      <w:pPr>
        <w:rPr>
          <w:rFonts w:ascii="Garamond" w:hAnsi="Garamond"/>
        </w:rPr>
      </w:pPr>
    </w:p>
    <w:p w:rsidR="00CC3D1B" w:rsidRPr="00AE25FE" w:rsidRDefault="00CC3D1B" w:rsidP="00C24AA8">
      <w:pPr>
        <w:rPr>
          <w:rFonts w:ascii="Garamond" w:hAnsi="Garamond"/>
        </w:rPr>
      </w:pPr>
      <w:r w:rsidRPr="00AE25FE">
        <w:rPr>
          <w:rFonts w:ascii="Garamond" w:hAnsi="Garamond"/>
        </w:rPr>
        <w:lastRenderedPageBreak/>
        <w:t>Assigning informational weights to the line produces a somewhat more refined view.</w:t>
      </w:r>
      <w:r w:rsidR="00085C98" w:rsidRPr="00AE25FE">
        <w:rPr>
          <w:rFonts w:ascii="Garamond" w:hAnsi="Garamond"/>
        </w:rPr>
        <w:t xml:space="preserve">  The qualitative designation of</w:t>
      </w:r>
      <w:r w:rsidR="00085C98" w:rsidRPr="00AE25FE">
        <w:rPr>
          <w:rFonts w:ascii="Garamond" w:hAnsi="Garamond"/>
          <w:i/>
        </w:rPr>
        <w:t xml:space="preserve"> w</w:t>
      </w:r>
      <w:r w:rsidR="00085C98" w:rsidRPr="00AE25FE">
        <w:rPr>
          <w:rFonts w:ascii="Garamond" w:hAnsi="Garamond"/>
        </w:rPr>
        <w:t xml:space="preserve"> (weak),</w:t>
      </w:r>
      <w:r w:rsidR="00085C98" w:rsidRPr="00AE25FE">
        <w:rPr>
          <w:rFonts w:ascii="Garamond" w:hAnsi="Garamond"/>
          <w:i/>
        </w:rPr>
        <w:t xml:space="preserve"> m</w:t>
      </w:r>
      <w:r w:rsidR="00085C98" w:rsidRPr="00AE25FE">
        <w:rPr>
          <w:rFonts w:ascii="Garamond" w:hAnsi="Garamond"/>
        </w:rPr>
        <w:t xml:space="preserve"> (</w:t>
      </w:r>
      <w:proofErr w:type="gramStart"/>
      <w:r w:rsidR="00C24AA8" w:rsidRPr="00AE25FE">
        <w:rPr>
          <w:rFonts w:ascii="Garamond" w:hAnsi="Garamond"/>
        </w:rPr>
        <w:t>medium),</w:t>
      </w:r>
      <w:proofErr w:type="gramEnd"/>
      <w:r w:rsidR="00085C98" w:rsidRPr="00AE25FE">
        <w:rPr>
          <w:rFonts w:ascii="Garamond" w:hAnsi="Garamond"/>
        </w:rPr>
        <w:t xml:space="preserve"> and s (strong) could be replaced by </w:t>
      </w:r>
      <w:r w:rsidR="009A070C" w:rsidRPr="00AE25FE">
        <w:rPr>
          <w:rFonts w:ascii="Garamond" w:hAnsi="Garamond"/>
        </w:rPr>
        <w:t xml:space="preserve">the ratio of electronic to information </w:t>
      </w:r>
      <w:r w:rsidR="00085C98" w:rsidRPr="00AE25FE">
        <w:rPr>
          <w:rFonts w:ascii="Garamond" w:hAnsi="Garamond"/>
        </w:rPr>
        <w:t>transa</w:t>
      </w:r>
      <w:r w:rsidR="009A070C" w:rsidRPr="00AE25FE">
        <w:rPr>
          <w:rFonts w:ascii="Garamond" w:hAnsi="Garamond"/>
        </w:rPr>
        <w:t>c</w:t>
      </w:r>
      <w:r w:rsidR="00085C98" w:rsidRPr="00AE25FE">
        <w:rPr>
          <w:rFonts w:ascii="Garamond" w:hAnsi="Garamond"/>
        </w:rPr>
        <w:t>tions</w:t>
      </w:r>
      <w:r w:rsidR="00C24AA8" w:rsidRPr="00AE25FE">
        <w:rPr>
          <w:rFonts w:ascii="Garamond" w:hAnsi="Garamond"/>
        </w:rPr>
        <w:t>.</w:t>
      </w:r>
    </w:p>
    <w:p w:rsidR="00CC3D1B" w:rsidRPr="00AE25FE" w:rsidRDefault="00CC3D1B" w:rsidP="00D245A6">
      <w:pPr>
        <w:jc w:val="center"/>
        <w:rPr>
          <w:rFonts w:ascii="Garamond" w:hAnsi="Garamond"/>
        </w:rPr>
      </w:pPr>
    </w:p>
    <w:p w:rsidR="00CC3D1B" w:rsidRPr="00AE25FE" w:rsidRDefault="00085C98" w:rsidP="00FB6D1D">
      <w:pPr>
        <w:jc w:val="center"/>
        <w:rPr>
          <w:rFonts w:ascii="Garamond" w:hAnsi="Garamond"/>
        </w:rPr>
      </w:pPr>
      <w:r w:rsidRPr="00AE25FE">
        <w:rPr>
          <w:rFonts w:ascii="Garamond" w:hAnsi="Garamond"/>
          <w:position w:val="-100"/>
        </w:rPr>
        <w:object w:dxaOrig="2900" w:dyaOrig="2120">
          <v:shape id="_x0000_i1028" type="#_x0000_t75" style="width:145.5pt;height:105.75pt" o:ole="">
            <v:imagedata r:id="rId24" o:title=""/>
          </v:shape>
          <o:OLEObject Type="Embed" ProgID="Equation.DSMT4" ShapeID="_x0000_i1028" DrawAspect="Content" ObjectID="_1408696112" r:id="rId25"/>
        </w:object>
      </w:r>
      <w:r w:rsidR="00CC3D1B" w:rsidRPr="00AE25FE">
        <w:rPr>
          <w:rFonts w:ascii="Garamond" w:hAnsi="Garamond"/>
        </w:rPr>
        <w:tab/>
      </w:r>
      <w:r w:rsidR="00CC3D1B" w:rsidRPr="00AE25FE">
        <w:rPr>
          <w:rFonts w:ascii="Garamond" w:hAnsi="Garamond"/>
        </w:rPr>
        <w:tab/>
        <w:t>(</w:t>
      </w:r>
      <w:r w:rsidR="009A070C" w:rsidRPr="00AE25FE">
        <w:rPr>
          <w:rFonts w:ascii="Garamond" w:hAnsi="Garamond"/>
        </w:rPr>
        <w:t>2</w:t>
      </w:r>
      <w:r w:rsidR="00CC3D1B" w:rsidRPr="00AE25FE">
        <w:rPr>
          <w:rFonts w:ascii="Garamond" w:hAnsi="Garamond"/>
        </w:rPr>
        <w:t>)</w:t>
      </w:r>
    </w:p>
    <w:p w:rsidR="00CC3D1B" w:rsidRPr="00AE25FE" w:rsidRDefault="00CC3D1B" w:rsidP="00AE0A57">
      <w:pPr>
        <w:rPr>
          <w:rFonts w:ascii="Garamond" w:hAnsi="Garamond"/>
        </w:rPr>
      </w:pPr>
    </w:p>
    <w:p w:rsidR="00CC3D1B" w:rsidRPr="00AE25FE" w:rsidRDefault="00CC3D1B" w:rsidP="00AE0A57">
      <w:pPr>
        <w:rPr>
          <w:rFonts w:ascii="Garamond" w:hAnsi="Garamond"/>
        </w:rPr>
      </w:pPr>
      <w:r w:rsidRPr="00AE25FE">
        <w:rPr>
          <w:rFonts w:ascii="Garamond" w:hAnsi="Garamond"/>
        </w:rPr>
        <w:t>The</w:t>
      </w:r>
      <w:r w:rsidR="00261B03" w:rsidRPr="00AE25FE">
        <w:rPr>
          <w:rFonts w:ascii="Garamond" w:hAnsi="Garamond"/>
        </w:rPr>
        <w:t xml:space="preserve"> </w:t>
      </w:r>
      <w:r w:rsidR="00261B03" w:rsidRPr="00AE25FE">
        <w:rPr>
          <w:rFonts w:ascii="Garamond" w:hAnsi="Garamond"/>
          <w:i/>
        </w:rPr>
        <w:t xml:space="preserve">information </w:t>
      </w:r>
      <w:r w:rsidRPr="00AE25FE">
        <w:rPr>
          <w:rFonts w:ascii="Garamond" w:hAnsi="Garamond"/>
          <w:i/>
        </w:rPr>
        <w:t>weight</w:t>
      </w:r>
      <w:r w:rsidRPr="00AE25FE">
        <w:rPr>
          <w:rFonts w:ascii="Garamond" w:hAnsi="Garamond"/>
        </w:rPr>
        <w:t xml:space="preserve"> </w:t>
      </w:r>
      <w:r w:rsidR="00B11A46" w:rsidRPr="00AE25FE">
        <w:rPr>
          <w:rFonts w:ascii="Garamond" w:hAnsi="Garamond"/>
        </w:rPr>
        <w:t xml:space="preserve">(adjacency matrix) </w:t>
      </w:r>
      <w:r w:rsidRPr="00AE25FE">
        <w:rPr>
          <w:rFonts w:ascii="Garamond" w:hAnsi="Garamond"/>
        </w:rPr>
        <w:t xml:space="preserve">of the network is simply the sum of all connections (less the internal connections implied by the assumption that each node [health provider] has full internal communication).  In the case of </w:t>
      </w:r>
      <w:r w:rsidR="00261B03" w:rsidRPr="00AE25FE">
        <w:rPr>
          <w:rFonts w:ascii="Garamond" w:hAnsi="Garamond"/>
        </w:rPr>
        <w:t xml:space="preserve">a graph where </w:t>
      </w:r>
      <w:r w:rsidR="009A070C" w:rsidRPr="00AE25FE">
        <w:rPr>
          <w:rFonts w:ascii="Garamond" w:hAnsi="Garamond"/>
        </w:rPr>
        <w:t xml:space="preserve">all nodes </w:t>
      </w:r>
      <w:r w:rsidR="00261B03" w:rsidRPr="00AE25FE">
        <w:rPr>
          <w:rFonts w:ascii="Garamond" w:hAnsi="Garamond"/>
        </w:rPr>
        <w:t xml:space="preserve">are </w:t>
      </w:r>
      <w:r w:rsidR="009A070C" w:rsidRPr="00AE25FE">
        <w:rPr>
          <w:rFonts w:ascii="Garamond" w:hAnsi="Garamond"/>
        </w:rPr>
        <w:t>connect</w:t>
      </w:r>
      <w:r w:rsidR="00261B03" w:rsidRPr="00AE25FE">
        <w:rPr>
          <w:rFonts w:ascii="Garamond" w:hAnsi="Garamond"/>
        </w:rPr>
        <w:t>ed</w:t>
      </w:r>
      <w:r w:rsidR="009A070C" w:rsidRPr="00AE25FE">
        <w:rPr>
          <w:rFonts w:ascii="Garamond" w:hAnsi="Garamond"/>
        </w:rPr>
        <w:t xml:space="preserve"> by 1</w:t>
      </w:r>
      <w:r w:rsidRPr="00AE25FE">
        <w:rPr>
          <w:rFonts w:ascii="Garamond" w:hAnsi="Garamond"/>
        </w:rPr>
        <w:t xml:space="preserve">, the maximum weight is </w:t>
      </w:r>
      <w:proofErr w:type="gramStart"/>
      <w:r w:rsidRPr="00AE25FE">
        <w:rPr>
          <w:rFonts w:ascii="Garamond" w:hAnsi="Garamond"/>
        </w:rPr>
        <w:t>N(</w:t>
      </w:r>
      <w:proofErr w:type="gramEnd"/>
      <w:r w:rsidRPr="00AE25FE">
        <w:rPr>
          <w:rFonts w:ascii="Garamond" w:hAnsi="Garamond"/>
        </w:rPr>
        <w:t>N-1) (excluding the internal communications reflected down the main diagonal)</w:t>
      </w:r>
      <w:r w:rsidR="00261B03" w:rsidRPr="00AE25FE">
        <w:rPr>
          <w:rFonts w:ascii="Garamond" w:hAnsi="Garamond"/>
        </w:rPr>
        <w:t>.  However, more realistically</w:t>
      </w:r>
      <w:r w:rsidR="00C24AA8" w:rsidRPr="00AE25FE">
        <w:rPr>
          <w:rFonts w:ascii="Garamond" w:hAnsi="Garamond"/>
        </w:rPr>
        <w:t>,</w:t>
      </w:r>
      <w:r w:rsidR="00261B03" w:rsidRPr="00AE25FE">
        <w:rPr>
          <w:rFonts w:ascii="Garamond" w:hAnsi="Garamond"/>
        </w:rPr>
        <w:t xml:space="preserve"> information lines between nodes will reflect a weight</w:t>
      </w:r>
      <w:r w:rsidRPr="00AE25FE">
        <w:rPr>
          <w:rFonts w:ascii="Garamond" w:hAnsi="Garamond"/>
        </w:rPr>
        <w:t xml:space="preserve"> and in th</w:t>
      </w:r>
      <w:r w:rsidR="00261B03" w:rsidRPr="00AE25FE">
        <w:rPr>
          <w:rFonts w:ascii="Garamond" w:hAnsi="Garamond"/>
        </w:rPr>
        <w:t>is</w:t>
      </w:r>
      <w:r w:rsidRPr="00AE25FE">
        <w:rPr>
          <w:rFonts w:ascii="Garamond" w:hAnsi="Garamond"/>
        </w:rPr>
        <w:t>, the maximum weight is simply the sum of line weights (</w:t>
      </w:r>
      <w:proofErr w:type="spellStart"/>
      <w:proofErr w:type="gramStart"/>
      <w:r w:rsidRPr="00AE25FE">
        <w:rPr>
          <w:rFonts w:ascii="Garamond" w:hAnsi="Garamond"/>
          <w:i/>
        </w:rPr>
        <w:t>w</w:t>
      </w:r>
      <w:r w:rsidRPr="00AE25FE">
        <w:rPr>
          <w:rFonts w:ascii="Garamond" w:hAnsi="Garamond"/>
          <w:i/>
          <w:vertAlign w:val="subscript"/>
        </w:rPr>
        <w:t>i</w:t>
      </w:r>
      <w:proofErr w:type="spellEnd"/>
      <w:proofErr w:type="gramEnd"/>
      <w:r w:rsidRPr="00AE25FE">
        <w:rPr>
          <w:rFonts w:ascii="Garamond" w:hAnsi="Garamond"/>
          <w:i/>
        </w:rPr>
        <w:t>)</w:t>
      </w:r>
      <w:r w:rsidRPr="00AE25FE">
        <w:rPr>
          <w:rFonts w:ascii="Garamond" w:hAnsi="Garamond"/>
        </w:rPr>
        <w:t xml:space="preserve"> less the main sum of the main diagonal or</w:t>
      </w:r>
      <w:r w:rsidR="00C24AA8" w:rsidRPr="00AE25FE">
        <w:rPr>
          <w:rFonts w:ascii="Garamond" w:hAnsi="Garamond"/>
        </w:rPr>
        <w:t>:</w:t>
      </w:r>
    </w:p>
    <w:p w:rsidR="00CC3D1B" w:rsidRPr="00AE25FE" w:rsidRDefault="00CC3D1B" w:rsidP="00AE0A57">
      <w:pPr>
        <w:rPr>
          <w:rFonts w:ascii="Garamond" w:hAnsi="Garamond"/>
        </w:rPr>
      </w:pPr>
    </w:p>
    <w:p w:rsidR="00CC3D1B" w:rsidRPr="00AE25FE" w:rsidRDefault="00CC3D1B" w:rsidP="00E12892">
      <w:pPr>
        <w:ind w:left="1980" w:firstLine="720"/>
        <w:rPr>
          <w:rFonts w:ascii="Garamond" w:hAnsi="Garamond"/>
        </w:rPr>
      </w:pPr>
      <w:r w:rsidRPr="00AE25FE">
        <w:rPr>
          <w:rFonts w:ascii="Garamond" w:hAnsi="Garamond"/>
          <w:position w:val="-28"/>
        </w:rPr>
        <w:object w:dxaOrig="1440" w:dyaOrig="540">
          <v:shape id="_x0000_i1029" type="#_x0000_t75" style="width:1in;height:27pt" o:ole="">
            <v:imagedata r:id="rId26" o:title=""/>
          </v:shape>
          <o:OLEObject Type="Embed" ProgID="Equation.DSMT4" ShapeID="_x0000_i1029" DrawAspect="Content" ObjectID="_1408696113" r:id="rId27"/>
        </w:object>
      </w:r>
      <w:r w:rsidRPr="00AE25FE">
        <w:rPr>
          <w:rFonts w:ascii="Garamond" w:hAnsi="Garamond"/>
        </w:rPr>
        <w:tab/>
      </w:r>
      <w:r w:rsidRPr="00AE25FE">
        <w:rPr>
          <w:rFonts w:ascii="Garamond" w:hAnsi="Garamond"/>
        </w:rPr>
        <w:tab/>
        <w:t>(</w:t>
      </w:r>
      <w:r w:rsidR="00F00DC7" w:rsidRPr="00AE25FE">
        <w:rPr>
          <w:rFonts w:ascii="Garamond" w:hAnsi="Garamond"/>
        </w:rPr>
        <w:t>3</w:t>
      </w:r>
      <w:r w:rsidRPr="00AE25FE">
        <w:rPr>
          <w:rFonts w:ascii="Garamond" w:hAnsi="Garamond"/>
        </w:rPr>
        <w:t>)</w:t>
      </w:r>
    </w:p>
    <w:p w:rsidR="00CC3D1B" w:rsidRPr="00AE25FE" w:rsidRDefault="00CC3D1B" w:rsidP="00911EB9">
      <w:pPr>
        <w:rPr>
          <w:rFonts w:ascii="Garamond" w:hAnsi="Garamond"/>
        </w:rPr>
      </w:pPr>
      <w:r w:rsidRPr="00AE25FE">
        <w:rPr>
          <w:rFonts w:ascii="Garamond" w:hAnsi="Garamond"/>
        </w:rPr>
        <w:t xml:space="preserve">For the moment, assume that the weight </w:t>
      </w:r>
      <w:proofErr w:type="spellStart"/>
      <w:proofErr w:type="gramStart"/>
      <w:r w:rsidRPr="00AE25FE">
        <w:rPr>
          <w:rFonts w:ascii="Garamond" w:hAnsi="Garamond"/>
        </w:rPr>
        <w:t>w</w:t>
      </w:r>
      <w:r w:rsidRPr="00AE25FE">
        <w:rPr>
          <w:rFonts w:ascii="Garamond" w:hAnsi="Garamond"/>
          <w:vertAlign w:val="subscript"/>
        </w:rPr>
        <w:t>i</w:t>
      </w:r>
      <w:proofErr w:type="spellEnd"/>
      <w:proofErr w:type="gramEnd"/>
      <w:r w:rsidRPr="00AE25FE">
        <w:rPr>
          <w:rFonts w:ascii="Garamond" w:hAnsi="Garamond"/>
        </w:rPr>
        <w:t xml:space="preserve"> varies between 0 and 1</w:t>
      </w:r>
      <w:r w:rsidR="00C24AA8" w:rsidRPr="00AE25FE">
        <w:rPr>
          <w:rFonts w:ascii="Garamond" w:hAnsi="Garamond"/>
        </w:rPr>
        <w:t>,</w:t>
      </w:r>
      <w:r w:rsidRPr="00AE25FE">
        <w:rPr>
          <w:rFonts w:ascii="Garamond" w:hAnsi="Garamond"/>
        </w:rPr>
        <w:t xml:space="preserve"> with 0 denoting non-existence of information exchange and 1 indicating some maximum value using a metric to be defined. For the network depicted in Figure 6, assume that the values of </w:t>
      </w:r>
      <w:r w:rsidRPr="00AE25FE">
        <w:rPr>
          <w:rFonts w:ascii="Garamond" w:hAnsi="Garamond"/>
          <w:i/>
        </w:rPr>
        <w:t>w,</w:t>
      </w:r>
      <w:r w:rsidRPr="00AE25FE">
        <w:rPr>
          <w:rFonts w:ascii="Garamond" w:hAnsi="Garamond"/>
        </w:rPr>
        <w:t xml:space="preserve"> </w:t>
      </w:r>
      <w:r w:rsidRPr="00AE25FE">
        <w:rPr>
          <w:rFonts w:ascii="Garamond" w:hAnsi="Garamond"/>
          <w:i/>
        </w:rPr>
        <w:t>m</w:t>
      </w:r>
      <w:r w:rsidR="00C24AA8" w:rsidRPr="00AE25FE">
        <w:rPr>
          <w:rFonts w:ascii="Garamond" w:hAnsi="Garamond"/>
          <w:i/>
        </w:rPr>
        <w:t>,</w:t>
      </w:r>
      <w:r w:rsidRPr="00AE25FE">
        <w:rPr>
          <w:rFonts w:ascii="Garamond" w:hAnsi="Garamond"/>
        </w:rPr>
        <w:t xml:space="preserve"> and </w:t>
      </w:r>
      <w:r w:rsidRPr="00AE25FE">
        <w:rPr>
          <w:rFonts w:ascii="Garamond" w:hAnsi="Garamond"/>
          <w:i/>
        </w:rPr>
        <w:t xml:space="preserve">s </w:t>
      </w:r>
      <w:r w:rsidRPr="00AE25FE">
        <w:rPr>
          <w:rFonts w:ascii="Garamond" w:hAnsi="Garamond"/>
        </w:rPr>
        <w:t>are .2</w:t>
      </w:r>
      <w:r w:rsidR="00C24AA8" w:rsidRPr="00AE25FE">
        <w:rPr>
          <w:rFonts w:ascii="Garamond" w:hAnsi="Garamond"/>
        </w:rPr>
        <w:t>,</w:t>
      </w:r>
      <w:r w:rsidRPr="00AE25FE">
        <w:rPr>
          <w:rFonts w:ascii="Garamond" w:hAnsi="Garamond"/>
        </w:rPr>
        <w:t xml:space="preserve"> .5</w:t>
      </w:r>
      <w:r w:rsidR="00C24AA8" w:rsidRPr="00AE25FE">
        <w:rPr>
          <w:rFonts w:ascii="Garamond" w:hAnsi="Garamond"/>
        </w:rPr>
        <w:t>,</w:t>
      </w:r>
      <w:r w:rsidRPr="00AE25FE">
        <w:rPr>
          <w:rFonts w:ascii="Garamond" w:hAnsi="Garamond"/>
        </w:rPr>
        <w:t xml:space="preserve"> and 1 respectively; therefore</w:t>
      </w:r>
      <w:r w:rsidR="00C24AA8" w:rsidRPr="00AE25FE">
        <w:rPr>
          <w:rFonts w:ascii="Garamond" w:hAnsi="Garamond"/>
        </w:rPr>
        <w:t>,</w:t>
      </w:r>
      <w:r w:rsidRPr="00AE25FE">
        <w:rPr>
          <w:rFonts w:ascii="Garamond" w:hAnsi="Garamond"/>
        </w:rPr>
        <w:t xml:space="preserve"> the system weight or “interoperability” of this network is 5.1. </w:t>
      </w:r>
      <w:r w:rsidR="00261B03" w:rsidRPr="00AE25FE">
        <w:rPr>
          <w:rFonts w:ascii="Garamond" w:hAnsi="Garamond"/>
        </w:rPr>
        <w:t xml:space="preserve"> Measuring the proportion of inter</w:t>
      </w:r>
      <w:r w:rsidR="00840DC4" w:rsidRPr="00AE25FE">
        <w:rPr>
          <w:rFonts w:ascii="Garamond" w:hAnsi="Garamond"/>
        </w:rPr>
        <w:t>-</w:t>
      </w:r>
      <w:r w:rsidR="00261B03" w:rsidRPr="00AE25FE">
        <w:rPr>
          <w:rFonts w:ascii="Garamond" w:hAnsi="Garamond"/>
        </w:rPr>
        <w:t xml:space="preserve">node electronic information transactions to total transaction seems an obvious interpretation of </w:t>
      </w:r>
      <w:r w:rsidR="00840DC4" w:rsidRPr="00AE25FE">
        <w:rPr>
          <w:rFonts w:ascii="Garamond" w:hAnsi="Garamond"/>
        </w:rPr>
        <w:t>the weight of the adjacency matrix.</w:t>
      </w:r>
      <w:r w:rsidR="00261B03" w:rsidRPr="00AE25FE">
        <w:rPr>
          <w:rFonts w:ascii="Garamond" w:hAnsi="Garamond"/>
        </w:rPr>
        <w:t xml:space="preserve"> </w:t>
      </w:r>
    </w:p>
    <w:p w:rsidR="00CC3D1B" w:rsidRPr="00AE25FE" w:rsidRDefault="00CC3D1B" w:rsidP="00911EB9">
      <w:pPr>
        <w:rPr>
          <w:rFonts w:ascii="Garamond" w:hAnsi="Garamond"/>
        </w:rPr>
      </w:pPr>
    </w:p>
    <w:p w:rsidR="00CC3D1B" w:rsidRPr="00AE25FE" w:rsidRDefault="00CC3D1B" w:rsidP="004449B4">
      <w:pPr>
        <w:ind w:firstLine="720"/>
        <w:rPr>
          <w:rStyle w:val="SubtleEmphasis"/>
          <w:rFonts w:ascii="Garamond" w:hAnsi="Garamond"/>
          <w:b/>
          <w:i w:val="0"/>
          <w:color w:val="auto"/>
        </w:rPr>
      </w:pPr>
      <w:bookmarkStart w:id="8" w:name="_Toc323718560"/>
      <w:r w:rsidRPr="00AE25FE">
        <w:rPr>
          <w:rStyle w:val="SubtleEmphasis"/>
          <w:rFonts w:ascii="Garamond" w:hAnsi="Garamond"/>
          <w:b/>
          <w:i w:val="0"/>
          <w:color w:val="auto"/>
        </w:rPr>
        <w:t>Measuring interoperability</w:t>
      </w:r>
      <w:bookmarkEnd w:id="8"/>
    </w:p>
    <w:p w:rsidR="00CC3D1B" w:rsidRPr="00AE25FE" w:rsidRDefault="00CC3D1B" w:rsidP="00AE0A57">
      <w:pPr>
        <w:rPr>
          <w:rFonts w:ascii="Garamond" w:hAnsi="Garamond"/>
        </w:rPr>
      </w:pPr>
    </w:p>
    <w:p w:rsidR="00CC3D1B" w:rsidRPr="00AE25FE" w:rsidRDefault="00CC3D1B" w:rsidP="00111F31">
      <w:pPr>
        <w:rPr>
          <w:rStyle w:val="SubtleEmphasis"/>
          <w:rFonts w:ascii="Garamond" w:hAnsi="Garamond"/>
          <w:i w:val="0"/>
          <w:iCs w:val="0"/>
          <w:color w:val="auto"/>
        </w:rPr>
      </w:pPr>
      <w:r w:rsidRPr="00AE25FE">
        <w:rPr>
          <w:rStyle w:val="SubtleEmphasis"/>
          <w:rFonts w:ascii="Garamond" w:hAnsi="Garamond"/>
          <w:i w:val="0"/>
          <w:iCs w:val="0"/>
          <w:color w:val="auto"/>
        </w:rPr>
        <w:t xml:space="preserve">Measuring interoperability of the system would appear to be a simple matter of counting the weights of all interconnections actually initiated.  However, several important </w:t>
      </w:r>
      <w:r w:rsidR="00F00DC7" w:rsidRPr="00AE25FE">
        <w:rPr>
          <w:rStyle w:val="SubtleEmphasis"/>
          <w:rFonts w:ascii="Garamond" w:hAnsi="Garamond"/>
          <w:i w:val="0"/>
          <w:iCs w:val="0"/>
          <w:color w:val="auto"/>
        </w:rPr>
        <w:t>issues</w:t>
      </w:r>
      <w:r w:rsidRPr="00AE25FE">
        <w:rPr>
          <w:rStyle w:val="SubtleEmphasis"/>
          <w:rFonts w:ascii="Garamond" w:hAnsi="Garamond"/>
          <w:i w:val="0"/>
          <w:iCs w:val="0"/>
          <w:color w:val="auto"/>
        </w:rPr>
        <w:t xml:space="preserve"> exist:</w:t>
      </w:r>
    </w:p>
    <w:p w:rsidR="00CC3D1B" w:rsidRPr="00AE25FE" w:rsidRDefault="00CC3D1B" w:rsidP="00111F31">
      <w:pPr>
        <w:rPr>
          <w:rStyle w:val="SubtleEmphasis"/>
          <w:rFonts w:ascii="Garamond" w:hAnsi="Garamond"/>
          <w:i w:val="0"/>
          <w:iCs w:val="0"/>
          <w:color w:val="auto"/>
        </w:rPr>
      </w:pPr>
    </w:p>
    <w:p w:rsidR="00CC3D1B" w:rsidRPr="00AE25FE" w:rsidRDefault="00CC3D1B" w:rsidP="00460BEC">
      <w:pPr>
        <w:pStyle w:val="ListParagraph"/>
        <w:numPr>
          <w:ilvl w:val="0"/>
          <w:numId w:val="20"/>
        </w:numPr>
        <w:rPr>
          <w:rStyle w:val="SubtleEmphasis"/>
          <w:rFonts w:ascii="Garamond" w:hAnsi="Garamond"/>
          <w:i w:val="0"/>
          <w:iCs w:val="0"/>
          <w:color w:val="auto"/>
        </w:rPr>
      </w:pPr>
      <w:r w:rsidRPr="00AE25FE">
        <w:rPr>
          <w:rStyle w:val="SubtleEmphasis"/>
          <w:rFonts w:ascii="Garamond" w:hAnsi="Garamond"/>
          <w:i w:val="0"/>
          <w:iCs w:val="0"/>
          <w:color w:val="auto"/>
        </w:rPr>
        <w:t>The nodes are not</w:t>
      </w:r>
      <w:r w:rsidR="003D7E31" w:rsidRPr="00AE25FE">
        <w:rPr>
          <w:rStyle w:val="SubtleEmphasis"/>
          <w:rFonts w:ascii="Garamond" w:hAnsi="Garamond"/>
          <w:i w:val="0"/>
          <w:iCs w:val="0"/>
          <w:color w:val="auto"/>
        </w:rPr>
        <w:t xml:space="preserve"> at</w:t>
      </w:r>
      <w:r w:rsidRPr="00AE25FE">
        <w:rPr>
          <w:rStyle w:val="SubtleEmphasis"/>
          <w:rFonts w:ascii="Garamond" w:hAnsi="Garamond"/>
          <w:i w:val="0"/>
          <w:iCs w:val="0"/>
          <w:color w:val="auto"/>
        </w:rPr>
        <w:t xml:space="preserve"> the same scale.  Some may comprise a small primary care practice, while others will be large health care institutions, such as regional hospitals. </w:t>
      </w:r>
      <w:r w:rsidR="004449B4" w:rsidRPr="00AE25FE">
        <w:rPr>
          <w:rStyle w:val="SubtleEmphasis"/>
          <w:rFonts w:ascii="Garamond" w:hAnsi="Garamond"/>
          <w:i w:val="0"/>
          <w:iCs w:val="0"/>
          <w:color w:val="auto"/>
        </w:rPr>
        <w:t xml:space="preserve"> The interoperability map in Figure 3 implicitly assumes </w:t>
      </w:r>
      <w:r w:rsidR="003D7E31" w:rsidRPr="00AE25FE">
        <w:rPr>
          <w:rStyle w:val="SubtleEmphasis"/>
          <w:rFonts w:ascii="Garamond" w:hAnsi="Garamond"/>
          <w:i w:val="0"/>
          <w:iCs w:val="0"/>
          <w:color w:val="auto"/>
        </w:rPr>
        <w:t xml:space="preserve">each node is at the same level.  Varying this assumption is the key to unifying the concepts of maturity and interoperability. </w:t>
      </w:r>
      <w:r w:rsidRPr="00AE25FE">
        <w:rPr>
          <w:rStyle w:val="SubtleEmphasis"/>
          <w:rFonts w:ascii="Garamond" w:hAnsi="Garamond"/>
          <w:i w:val="0"/>
          <w:iCs w:val="0"/>
          <w:color w:val="auto"/>
        </w:rPr>
        <w:t xml:space="preserve"> </w:t>
      </w:r>
    </w:p>
    <w:p w:rsidR="00CC3D1B" w:rsidRPr="00AE25FE" w:rsidRDefault="00CC3D1B" w:rsidP="00DC46E9">
      <w:pPr>
        <w:rPr>
          <w:rStyle w:val="SubtleEmphasis"/>
          <w:rFonts w:ascii="Garamond" w:hAnsi="Garamond"/>
          <w:i w:val="0"/>
          <w:iCs w:val="0"/>
          <w:color w:val="auto"/>
        </w:rPr>
      </w:pPr>
    </w:p>
    <w:p w:rsidR="00CC3D1B" w:rsidRPr="00AE25FE" w:rsidRDefault="00CC3D1B" w:rsidP="00460BEC">
      <w:pPr>
        <w:pStyle w:val="ListParagraph"/>
        <w:numPr>
          <w:ilvl w:val="0"/>
          <w:numId w:val="20"/>
        </w:numPr>
        <w:rPr>
          <w:rStyle w:val="SubtleEmphasis"/>
          <w:rFonts w:ascii="Garamond" w:hAnsi="Garamond"/>
          <w:i w:val="0"/>
          <w:iCs w:val="0"/>
          <w:color w:val="auto"/>
        </w:rPr>
      </w:pPr>
      <w:r w:rsidRPr="00AE25FE">
        <w:rPr>
          <w:rStyle w:val="SubtleEmphasis"/>
          <w:rFonts w:ascii="Garamond" w:hAnsi="Garamond"/>
          <w:i w:val="0"/>
          <w:iCs w:val="0"/>
          <w:color w:val="auto"/>
        </w:rPr>
        <w:t>The nature of the communication among the nodes also requires definition and measurement.  The actual data transfer may comprise a variety of formats and content levels.  It may be episodic (such as making referral</w:t>
      </w:r>
      <w:r w:rsidR="003D7E31" w:rsidRPr="00AE25FE">
        <w:rPr>
          <w:rStyle w:val="SubtleEmphasis"/>
          <w:rFonts w:ascii="Garamond" w:hAnsi="Garamond"/>
          <w:i w:val="0"/>
          <w:iCs w:val="0"/>
          <w:color w:val="auto"/>
        </w:rPr>
        <w:t>s</w:t>
      </w:r>
      <w:r w:rsidRPr="00AE25FE">
        <w:rPr>
          <w:rStyle w:val="SubtleEmphasis"/>
          <w:rFonts w:ascii="Garamond" w:hAnsi="Garamond"/>
          <w:i w:val="0"/>
          <w:iCs w:val="0"/>
          <w:color w:val="auto"/>
        </w:rPr>
        <w:t xml:space="preserve"> to a specialist), or it may be continuous, such as an intensive care unit providing the primary care physician and associated specialists with real time information on a critically ill patient.  The eHealth literature has not devoted </w:t>
      </w:r>
      <w:r w:rsidR="003D7E31" w:rsidRPr="00AE25FE">
        <w:rPr>
          <w:rStyle w:val="SubtleEmphasis"/>
          <w:rFonts w:ascii="Garamond" w:hAnsi="Garamond"/>
          <w:i w:val="0"/>
          <w:iCs w:val="0"/>
          <w:color w:val="auto"/>
        </w:rPr>
        <w:t xml:space="preserve">much attention </w:t>
      </w:r>
      <w:r w:rsidRPr="00AE25FE">
        <w:rPr>
          <w:rStyle w:val="SubtleEmphasis"/>
          <w:rFonts w:ascii="Garamond" w:hAnsi="Garamond"/>
          <w:i w:val="0"/>
          <w:iCs w:val="0"/>
          <w:color w:val="auto"/>
        </w:rPr>
        <w:t>to the characterization of communication among health providers.</w:t>
      </w:r>
    </w:p>
    <w:p w:rsidR="00CC3D1B" w:rsidRPr="00AE25FE" w:rsidRDefault="00CC3D1B" w:rsidP="00DC46E9">
      <w:pPr>
        <w:rPr>
          <w:rStyle w:val="SubtleEmphasis"/>
          <w:rFonts w:ascii="Garamond" w:hAnsi="Garamond"/>
          <w:i w:val="0"/>
          <w:iCs w:val="0"/>
          <w:color w:val="auto"/>
        </w:rPr>
      </w:pPr>
    </w:p>
    <w:p w:rsidR="00CC3D1B" w:rsidRPr="00AE25FE" w:rsidRDefault="00CC3D1B" w:rsidP="00460BEC">
      <w:pPr>
        <w:pStyle w:val="ListParagraph"/>
        <w:numPr>
          <w:ilvl w:val="0"/>
          <w:numId w:val="20"/>
        </w:numPr>
        <w:rPr>
          <w:rStyle w:val="SubtleEmphasis"/>
          <w:rFonts w:ascii="Garamond" w:hAnsi="Garamond"/>
          <w:i w:val="0"/>
          <w:iCs w:val="0"/>
          <w:color w:val="auto"/>
        </w:rPr>
      </w:pPr>
      <w:r w:rsidRPr="00AE25FE">
        <w:rPr>
          <w:rStyle w:val="SubtleEmphasis"/>
          <w:rFonts w:ascii="Garamond" w:hAnsi="Garamond"/>
          <w:i w:val="0"/>
          <w:iCs w:val="0"/>
          <w:color w:val="auto"/>
        </w:rPr>
        <w:lastRenderedPageBreak/>
        <w:t>Where two-way communication occurs, such as between A&amp;B and A&amp;C,</w:t>
      </w:r>
      <w:r w:rsidR="003D7E31" w:rsidRPr="00AE25FE">
        <w:rPr>
          <w:rStyle w:val="SubtleEmphasis"/>
          <w:rFonts w:ascii="Garamond" w:hAnsi="Garamond"/>
          <w:i w:val="0"/>
          <w:iCs w:val="0"/>
          <w:color w:val="auto"/>
        </w:rPr>
        <w:t xml:space="preserve"> there need not be </w:t>
      </w:r>
      <w:r w:rsidRPr="00AE25FE">
        <w:rPr>
          <w:rStyle w:val="SubtleEmphasis"/>
          <w:rFonts w:ascii="Garamond" w:hAnsi="Garamond"/>
          <w:i w:val="0"/>
          <w:iCs w:val="0"/>
          <w:color w:val="auto"/>
        </w:rPr>
        <w:t>equivalency in the information content of the medium values (.5) and the combination of strong and weak information links</w:t>
      </w:r>
      <w:r w:rsidR="006A0696" w:rsidRPr="00AE25FE">
        <w:rPr>
          <w:rStyle w:val="SubtleEmphasis"/>
          <w:rFonts w:ascii="Garamond" w:hAnsi="Garamond"/>
          <w:i w:val="0"/>
          <w:iCs w:val="0"/>
          <w:color w:val="auto"/>
        </w:rPr>
        <w:t>. The matrix AM need</w:t>
      </w:r>
      <w:r w:rsidR="003D7E31" w:rsidRPr="00AE25FE">
        <w:rPr>
          <w:rStyle w:val="SubtleEmphasis"/>
          <w:rFonts w:ascii="Garamond" w:hAnsi="Garamond"/>
          <w:i w:val="0"/>
          <w:iCs w:val="0"/>
          <w:color w:val="auto"/>
        </w:rPr>
        <w:t xml:space="preserve"> not be symmetric.</w:t>
      </w:r>
      <w:r w:rsidRPr="00AE25FE">
        <w:rPr>
          <w:rStyle w:val="SubtleEmphasis"/>
          <w:rFonts w:ascii="Garamond" w:hAnsi="Garamond"/>
          <w:i w:val="0"/>
          <w:iCs w:val="0"/>
          <w:color w:val="auto"/>
        </w:rPr>
        <w:t xml:space="preserve">  Further, </w:t>
      </w:r>
      <w:r w:rsidR="003D7E31" w:rsidRPr="00AE25FE">
        <w:rPr>
          <w:rStyle w:val="SubtleEmphasis"/>
          <w:rFonts w:ascii="Garamond" w:hAnsi="Garamond"/>
          <w:i w:val="0"/>
          <w:iCs w:val="0"/>
          <w:color w:val="auto"/>
        </w:rPr>
        <w:t>not a</w:t>
      </w:r>
      <w:r w:rsidRPr="00AE25FE">
        <w:rPr>
          <w:rStyle w:val="SubtleEmphasis"/>
          <w:rFonts w:ascii="Garamond" w:hAnsi="Garamond"/>
          <w:i w:val="0"/>
          <w:iCs w:val="0"/>
          <w:color w:val="auto"/>
        </w:rPr>
        <w:t>ll links need to be two-way to have functional interoperability</w:t>
      </w:r>
      <w:r w:rsidR="003D7E31"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w:t>
      </w:r>
    </w:p>
    <w:p w:rsidR="00CC3D1B" w:rsidRPr="00AE25FE" w:rsidRDefault="00CC3D1B" w:rsidP="00FD3AFE">
      <w:pPr>
        <w:rPr>
          <w:rStyle w:val="SubtleEmphasis"/>
          <w:rFonts w:ascii="Garamond" w:hAnsi="Garamond"/>
          <w:i w:val="0"/>
          <w:iCs w:val="0"/>
          <w:color w:val="auto"/>
        </w:rPr>
      </w:pPr>
    </w:p>
    <w:p w:rsidR="00CC3D1B" w:rsidRPr="00AE25FE" w:rsidRDefault="003D7E31" w:rsidP="003D7E31">
      <w:pPr>
        <w:pStyle w:val="Heading1"/>
        <w:numPr>
          <w:ilvl w:val="0"/>
          <w:numId w:val="0"/>
        </w:numPr>
        <w:ind w:left="720" w:hanging="720"/>
        <w:rPr>
          <w:rStyle w:val="SubtleEmphasis"/>
          <w:rFonts w:ascii="Garamond" w:hAnsi="Garamond"/>
          <w:i w:val="0"/>
          <w:iCs w:val="0"/>
          <w:color w:val="auto"/>
          <w:sz w:val="28"/>
        </w:rPr>
      </w:pPr>
      <w:bookmarkStart w:id="9" w:name="_Toc323718561"/>
      <w:r w:rsidRPr="00AE25FE">
        <w:rPr>
          <w:rStyle w:val="SubtleEmphasis"/>
          <w:rFonts w:ascii="Garamond" w:hAnsi="Garamond"/>
          <w:i w:val="0"/>
          <w:iCs w:val="0"/>
          <w:color w:val="auto"/>
          <w:sz w:val="28"/>
        </w:rPr>
        <w:t>M</w:t>
      </w:r>
      <w:r w:rsidR="00CC3D1B" w:rsidRPr="00AE25FE">
        <w:rPr>
          <w:rStyle w:val="SubtleEmphasis"/>
          <w:rFonts w:ascii="Garamond" w:hAnsi="Garamond"/>
          <w:i w:val="0"/>
          <w:iCs w:val="0"/>
          <w:color w:val="auto"/>
          <w:sz w:val="28"/>
        </w:rPr>
        <w:t>aturity and interoperability</w:t>
      </w:r>
      <w:bookmarkEnd w:id="9"/>
    </w:p>
    <w:p w:rsidR="00CC3D1B" w:rsidRPr="00AE25FE" w:rsidRDefault="00CC3D1B" w:rsidP="00111F31">
      <w:pPr>
        <w:rPr>
          <w:rStyle w:val="SubtleEmphasis"/>
          <w:rFonts w:ascii="Garamond" w:hAnsi="Garamond"/>
          <w:i w:val="0"/>
          <w:iCs w:val="0"/>
          <w:color w:val="auto"/>
        </w:rPr>
      </w:pPr>
    </w:p>
    <w:p w:rsidR="00762E60" w:rsidRPr="00AE25FE" w:rsidRDefault="00CC3D1B" w:rsidP="0036058A">
      <w:pPr>
        <w:rPr>
          <w:rStyle w:val="SubtleEmphasis"/>
          <w:rFonts w:ascii="Garamond" w:hAnsi="Garamond"/>
          <w:i w:val="0"/>
          <w:iCs w:val="0"/>
          <w:color w:val="auto"/>
        </w:rPr>
      </w:pPr>
      <w:r w:rsidRPr="00AE25FE">
        <w:rPr>
          <w:rStyle w:val="SubtleEmphasis"/>
          <w:rFonts w:ascii="Garamond" w:hAnsi="Garamond"/>
          <w:i w:val="0"/>
          <w:iCs w:val="0"/>
          <w:color w:val="auto"/>
        </w:rPr>
        <w:t>Maturity</w:t>
      </w:r>
      <w:r w:rsidR="003D7E31" w:rsidRPr="00AE25FE">
        <w:rPr>
          <w:rStyle w:val="SubtleEmphasis"/>
          <w:rFonts w:ascii="Garamond" w:hAnsi="Garamond"/>
          <w:i w:val="0"/>
          <w:iCs w:val="0"/>
          <w:color w:val="auto"/>
        </w:rPr>
        <w:t xml:space="preserve"> and interoperability share an equivalent </w:t>
      </w:r>
      <w:r w:rsidR="00AC12BA" w:rsidRPr="00AE25FE">
        <w:rPr>
          <w:rStyle w:val="SubtleEmphasis"/>
          <w:rFonts w:ascii="Garamond" w:hAnsi="Garamond"/>
          <w:i w:val="0"/>
          <w:iCs w:val="0"/>
          <w:color w:val="auto"/>
        </w:rPr>
        <w:t xml:space="preserve">representation as models of information exchange </w:t>
      </w:r>
      <w:r w:rsidRPr="00AE25FE">
        <w:rPr>
          <w:rStyle w:val="SubtleEmphasis"/>
          <w:rFonts w:ascii="Garamond" w:hAnsi="Garamond"/>
          <w:i w:val="0"/>
          <w:iCs w:val="0"/>
          <w:color w:val="auto"/>
        </w:rPr>
        <w:t>involv</w:t>
      </w:r>
      <w:r w:rsidR="00AC12BA" w:rsidRPr="00AE25FE">
        <w:rPr>
          <w:rStyle w:val="SubtleEmphasis"/>
          <w:rFonts w:ascii="Garamond" w:hAnsi="Garamond"/>
          <w:i w:val="0"/>
          <w:iCs w:val="0"/>
          <w:color w:val="auto"/>
        </w:rPr>
        <w:t>ing</w:t>
      </w:r>
      <w:r w:rsidRPr="00AE25FE">
        <w:rPr>
          <w:rStyle w:val="SubtleEmphasis"/>
          <w:rFonts w:ascii="Garamond" w:hAnsi="Garamond"/>
          <w:i w:val="0"/>
          <w:iCs w:val="0"/>
          <w:color w:val="auto"/>
        </w:rPr>
        <w:t xml:space="preserve"> the process of acquiring, processing, and distributing information.</w:t>
      </w:r>
      <w:r w:rsidR="00AC12BA" w:rsidRPr="00AE25FE">
        <w:rPr>
          <w:rStyle w:val="SubtleEmphasis"/>
          <w:rFonts w:ascii="Garamond" w:hAnsi="Garamond"/>
          <w:i w:val="0"/>
          <w:iCs w:val="0"/>
          <w:color w:val="auto"/>
        </w:rPr>
        <w:t xml:space="preserve">  C</w:t>
      </w:r>
      <w:r w:rsidRPr="00AE25FE">
        <w:rPr>
          <w:rStyle w:val="SubtleEmphasis"/>
          <w:rFonts w:ascii="Garamond" w:hAnsi="Garamond"/>
          <w:i w:val="0"/>
          <w:iCs w:val="0"/>
          <w:color w:val="auto"/>
        </w:rPr>
        <w:t>ollocating diverse</w:t>
      </w:r>
      <w:r w:rsidR="00AC12BA" w:rsidRPr="00AE25FE">
        <w:rPr>
          <w:rStyle w:val="SubtleEmphasis"/>
          <w:rFonts w:ascii="Garamond" w:hAnsi="Garamond"/>
          <w:i w:val="0"/>
          <w:iCs w:val="0"/>
          <w:color w:val="auto"/>
        </w:rPr>
        <w:t xml:space="preserve"> health</w:t>
      </w:r>
      <w:r w:rsidRPr="00AE25FE">
        <w:rPr>
          <w:rStyle w:val="SubtleEmphasis"/>
          <w:rFonts w:ascii="Garamond" w:hAnsi="Garamond"/>
          <w:i w:val="0"/>
          <w:iCs w:val="0"/>
          <w:color w:val="auto"/>
        </w:rPr>
        <w:t xml:space="preserve"> </w:t>
      </w:r>
      <w:r w:rsidR="00AC12BA" w:rsidRPr="00AE25FE">
        <w:rPr>
          <w:rStyle w:val="SubtleEmphasis"/>
          <w:rFonts w:ascii="Garamond" w:hAnsi="Garamond"/>
          <w:i w:val="0"/>
          <w:iCs w:val="0"/>
          <w:color w:val="auto"/>
        </w:rPr>
        <w:t xml:space="preserve">services </w:t>
      </w:r>
      <w:r w:rsidRPr="00AE25FE">
        <w:rPr>
          <w:rStyle w:val="SubtleEmphasis"/>
          <w:rFonts w:ascii="Garamond" w:hAnsi="Garamond"/>
          <w:i w:val="0"/>
          <w:iCs w:val="0"/>
          <w:color w:val="auto"/>
        </w:rPr>
        <w:t>increases productivity</w:t>
      </w:r>
      <w:r w:rsidR="00762E60" w:rsidRPr="00AE25FE">
        <w:rPr>
          <w:rStyle w:val="SubtleEmphasis"/>
          <w:rFonts w:ascii="Garamond" w:hAnsi="Garamond"/>
          <w:i w:val="0"/>
          <w:iCs w:val="0"/>
          <w:color w:val="auto"/>
        </w:rPr>
        <w:t xml:space="preserve"> by increasing the exchange of qualitative information (e.g. pharmacist- physician interaction) and the reduction in transactions costs. Transactions costs </w:t>
      </w:r>
      <w:r w:rsidR="0036058A" w:rsidRPr="00AE25FE">
        <w:rPr>
          <w:rStyle w:val="SubtleEmphasis"/>
          <w:rFonts w:ascii="Garamond" w:hAnsi="Garamond"/>
          <w:i w:val="0"/>
          <w:iCs w:val="0"/>
          <w:color w:val="auto"/>
        </w:rPr>
        <w:t>refer generically to the costs of acquiring, processing</w:t>
      </w:r>
      <w:r w:rsidR="006A0696" w:rsidRPr="00AE25FE">
        <w:rPr>
          <w:rStyle w:val="SubtleEmphasis"/>
          <w:rFonts w:ascii="Garamond" w:hAnsi="Garamond"/>
          <w:i w:val="0"/>
          <w:iCs w:val="0"/>
          <w:color w:val="auto"/>
        </w:rPr>
        <w:t>,</w:t>
      </w:r>
      <w:r w:rsidR="0036058A" w:rsidRPr="00AE25FE">
        <w:rPr>
          <w:rStyle w:val="SubtleEmphasis"/>
          <w:rFonts w:ascii="Garamond" w:hAnsi="Garamond"/>
          <w:i w:val="0"/>
          <w:iCs w:val="0"/>
          <w:color w:val="auto"/>
        </w:rPr>
        <w:t xml:space="preserve"> and exchanging information</w:t>
      </w:r>
      <w:r w:rsidR="00DC3A05" w:rsidRPr="00AE25FE">
        <w:rPr>
          <w:rStyle w:val="SubtleEmphasis"/>
          <w:rFonts w:ascii="Garamond" w:hAnsi="Garamond"/>
          <w:i w:val="0"/>
          <w:iCs w:val="0"/>
          <w:color w:val="auto"/>
        </w:rPr>
        <w:t xml:space="preserve">; a </w:t>
      </w:r>
      <w:r w:rsidR="006A0696" w:rsidRPr="00AE25FE">
        <w:rPr>
          <w:rStyle w:val="SubtleEmphasis"/>
          <w:rFonts w:ascii="Garamond" w:hAnsi="Garamond"/>
          <w:i w:val="0"/>
          <w:iCs w:val="0"/>
          <w:color w:val="auto"/>
        </w:rPr>
        <w:t>reduction</w:t>
      </w:r>
      <w:r w:rsidR="00DC3A05" w:rsidRPr="00AE25FE">
        <w:rPr>
          <w:rStyle w:val="SubtleEmphasis"/>
          <w:rFonts w:ascii="Garamond" w:hAnsi="Garamond"/>
          <w:i w:val="0"/>
          <w:iCs w:val="0"/>
          <w:color w:val="auto"/>
        </w:rPr>
        <w:t xml:space="preserve"> in transactions costs is always associated with increased information flows</w:t>
      </w:r>
      <w:r w:rsidR="006A0696" w:rsidRPr="00AE25FE">
        <w:rPr>
          <w:rStyle w:val="SubtleEmphasis"/>
          <w:rFonts w:ascii="Garamond" w:hAnsi="Garamond"/>
          <w:i w:val="0"/>
          <w:iCs w:val="0"/>
          <w:color w:val="auto"/>
        </w:rPr>
        <w:t>.</w:t>
      </w:r>
    </w:p>
    <w:p w:rsidR="00762E60" w:rsidRPr="00AE25FE" w:rsidRDefault="00762E60" w:rsidP="00111F31">
      <w:pPr>
        <w:pStyle w:val="Caption"/>
        <w:rPr>
          <w:rStyle w:val="SubtleEmphasis"/>
          <w:rFonts w:ascii="Garamond" w:hAnsi="Garamond"/>
          <w:b w:val="0"/>
          <w:i w:val="0"/>
          <w:iCs w:val="0"/>
          <w:color w:val="auto"/>
          <w:sz w:val="24"/>
          <w:szCs w:val="24"/>
        </w:rPr>
      </w:pPr>
    </w:p>
    <w:p w:rsidR="00CC3D1B" w:rsidRPr="00AE25FE" w:rsidRDefault="00CC3D1B" w:rsidP="00385018">
      <w:pPr>
        <w:ind w:right="-180"/>
        <w:rPr>
          <w:rStyle w:val="SubtleEmphasis"/>
          <w:rFonts w:ascii="Garamond" w:hAnsi="Garamond"/>
          <w:i w:val="0"/>
          <w:iCs w:val="0"/>
          <w:color w:val="auto"/>
        </w:rPr>
      </w:pPr>
      <w:r w:rsidRPr="00AE25FE">
        <w:rPr>
          <w:rStyle w:val="SubtleEmphasis"/>
          <w:rFonts w:ascii="Garamond" w:hAnsi="Garamond"/>
          <w:i w:val="0"/>
          <w:iCs w:val="0"/>
          <w:color w:val="auto"/>
        </w:rPr>
        <w:t xml:space="preserve">For the moment, assume that health providers are physically and electronically separate. Referring to Figure </w:t>
      </w:r>
      <w:r w:rsidR="0036058A" w:rsidRPr="00AE25FE">
        <w:rPr>
          <w:rStyle w:val="SubtleEmphasis"/>
          <w:rFonts w:ascii="Garamond" w:hAnsi="Garamond"/>
          <w:i w:val="0"/>
          <w:iCs w:val="0"/>
          <w:color w:val="auto"/>
        </w:rPr>
        <w:t>3</w:t>
      </w:r>
      <w:r w:rsidRPr="00AE25FE">
        <w:rPr>
          <w:rStyle w:val="SubtleEmphasis"/>
          <w:rFonts w:ascii="Garamond" w:hAnsi="Garamond"/>
          <w:i w:val="0"/>
          <w:iCs w:val="0"/>
          <w:color w:val="auto"/>
        </w:rPr>
        <w:t xml:space="preserve">, imagine that units A, B, and C decide to merge (physically).  Figure </w:t>
      </w:r>
      <w:r w:rsidR="0036058A" w:rsidRPr="00AE25FE">
        <w:rPr>
          <w:rStyle w:val="SubtleEmphasis"/>
          <w:rFonts w:ascii="Garamond" w:hAnsi="Garamond"/>
          <w:i w:val="0"/>
          <w:iCs w:val="0"/>
          <w:color w:val="auto"/>
        </w:rPr>
        <w:t>4</w:t>
      </w:r>
      <w:r w:rsidRPr="00AE25FE">
        <w:rPr>
          <w:rStyle w:val="SubtleEmphasis"/>
          <w:rFonts w:ascii="Garamond" w:hAnsi="Garamond"/>
          <w:i w:val="0"/>
          <w:iCs w:val="0"/>
          <w:color w:val="auto"/>
        </w:rPr>
        <w:t xml:space="preserve"> presents a revised model of th</w:t>
      </w:r>
      <w:r w:rsidR="0036058A" w:rsidRPr="00AE25FE">
        <w:rPr>
          <w:rStyle w:val="SubtleEmphasis"/>
          <w:rFonts w:ascii="Garamond" w:hAnsi="Garamond"/>
          <w:i w:val="0"/>
          <w:iCs w:val="0"/>
          <w:color w:val="auto"/>
        </w:rPr>
        <w:t>e health care system in Figure 3</w:t>
      </w:r>
      <w:r w:rsidRPr="00AE25FE">
        <w:rPr>
          <w:rStyle w:val="SubtleEmphasis"/>
          <w:rFonts w:ascii="Garamond" w:hAnsi="Garamond"/>
          <w:i w:val="0"/>
          <w:iCs w:val="0"/>
          <w:color w:val="auto"/>
        </w:rPr>
        <w:t>.</w:t>
      </w:r>
      <w:r w:rsidR="0036058A" w:rsidRPr="00AE25FE">
        <w:rPr>
          <w:rStyle w:val="SubtleEmphasis"/>
          <w:rFonts w:ascii="Garamond" w:hAnsi="Garamond"/>
          <w:i w:val="0"/>
          <w:iCs w:val="0"/>
          <w:color w:val="auto"/>
        </w:rPr>
        <w:t xml:space="preserve"> This immediately increases the interoperability of the system.</w:t>
      </w:r>
    </w:p>
    <w:p w:rsidR="00CC3D1B" w:rsidRPr="00AE25FE" w:rsidRDefault="00CC3D1B" w:rsidP="0017513B">
      <w:pPr>
        <w:rPr>
          <w:rStyle w:val="SubtleEmphasis"/>
          <w:rFonts w:ascii="Garamond" w:hAnsi="Garamond"/>
          <w:i w:val="0"/>
          <w:iCs w:val="0"/>
          <w:color w:val="auto"/>
        </w:rPr>
      </w:pPr>
    </w:p>
    <w:p w:rsidR="00CC3D1B" w:rsidRPr="00AE25FE" w:rsidRDefault="003C4741" w:rsidP="002B5584">
      <w:pPr>
        <w:jc w:val="center"/>
        <w:rPr>
          <w:rStyle w:val="SubtleEmphasis"/>
          <w:rFonts w:ascii="Garamond" w:hAnsi="Garamond"/>
          <w:i w:val="0"/>
          <w:iCs w:val="0"/>
          <w:color w:val="auto"/>
        </w:rPr>
      </w:pPr>
      <w:r w:rsidRPr="00AE25FE">
        <w:rPr>
          <w:rFonts w:ascii="Garamond" w:hAnsi="Garamond"/>
          <w:noProof/>
          <w:lang w:eastAsia="en-CA"/>
        </w:rPr>
        <w:drawing>
          <wp:inline distT="0" distB="0" distL="0" distR="0">
            <wp:extent cx="3023286" cy="1936243"/>
            <wp:effectExtent l="19050" t="0" r="5664" b="0"/>
            <wp:docPr id="21" name="Picture 9" descr="Collocation and Interoperabilit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cation and Interoperability.em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6115" cy="1938055"/>
                    </a:xfrm>
                    <a:prstGeom prst="rect">
                      <a:avLst/>
                    </a:prstGeom>
                    <a:noFill/>
                    <a:ln>
                      <a:noFill/>
                    </a:ln>
                  </pic:spPr>
                </pic:pic>
              </a:graphicData>
            </a:graphic>
          </wp:inline>
        </w:drawing>
      </w:r>
    </w:p>
    <w:p w:rsidR="00CC3D1B" w:rsidRPr="00AE25FE" w:rsidRDefault="00CC3D1B" w:rsidP="0017513B">
      <w:pPr>
        <w:rPr>
          <w:rStyle w:val="SubtleEmphasis"/>
          <w:rFonts w:ascii="Garamond" w:hAnsi="Garamond"/>
          <w:i w:val="0"/>
          <w:iCs w:val="0"/>
          <w:color w:val="auto"/>
        </w:rPr>
      </w:pPr>
      <w:r w:rsidRPr="00AE25FE">
        <w:rPr>
          <w:rStyle w:val="SubtleEmphasis"/>
          <w:rFonts w:ascii="Garamond" w:hAnsi="Garamond"/>
          <w:i w:val="0"/>
          <w:iCs w:val="0"/>
          <w:color w:val="auto"/>
        </w:rPr>
        <w:t xml:space="preserve"> </w:t>
      </w:r>
    </w:p>
    <w:p w:rsidR="00CC3D1B" w:rsidRPr="00AE25FE" w:rsidRDefault="00CC3D1B" w:rsidP="000736CF">
      <w:pPr>
        <w:jc w:val="center"/>
        <w:rPr>
          <w:rStyle w:val="SubtleEmphasis"/>
          <w:rFonts w:ascii="Garamond" w:hAnsi="Garamond"/>
          <w:b/>
          <w:i w:val="0"/>
          <w:iCs w:val="0"/>
          <w:color w:val="auto"/>
        </w:rPr>
      </w:pPr>
      <w:r w:rsidRPr="00AE25FE">
        <w:rPr>
          <w:rStyle w:val="SubtleEmphasis"/>
          <w:rFonts w:ascii="Garamond" w:hAnsi="Garamond"/>
          <w:b/>
          <w:i w:val="0"/>
          <w:iCs w:val="0"/>
          <w:color w:val="auto"/>
        </w:rPr>
        <w:t xml:space="preserve">Figure </w:t>
      </w:r>
      <w:r w:rsidR="0036058A" w:rsidRPr="00AE25FE">
        <w:rPr>
          <w:rStyle w:val="SubtleEmphasis"/>
          <w:rFonts w:ascii="Garamond" w:hAnsi="Garamond"/>
          <w:b/>
          <w:i w:val="0"/>
          <w:iCs w:val="0"/>
          <w:color w:val="auto"/>
        </w:rPr>
        <w:t>4</w:t>
      </w:r>
      <w:r w:rsidRPr="00AE25FE">
        <w:rPr>
          <w:rStyle w:val="SubtleEmphasis"/>
          <w:rFonts w:ascii="Garamond" w:hAnsi="Garamond"/>
          <w:b/>
          <w:i w:val="0"/>
          <w:iCs w:val="0"/>
          <w:color w:val="auto"/>
        </w:rPr>
        <w:t>: Revised health network after collocation</w:t>
      </w:r>
    </w:p>
    <w:p w:rsidR="00CC3D1B" w:rsidRPr="00AE25FE" w:rsidRDefault="00CC3D1B" w:rsidP="0017513B">
      <w:pPr>
        <w:rPr>
          <w:rStyle w:val="SubtleEmphasis"/>
          <w:rFonts w:ascii="Garamond" w:hAnsi="Garamond"/>
          <w:i w:val="0"/>
          <w:iCs w:val="0"/>
          <w:color w:val="auto"/>
        </w:rPr>
      </w:pPr>
    </w:p>
    <w:p w:rsidR="00CC3D1B" w:rsidRPr="00AE25FE" w:rsidRDefault="00CC3D1B" w:rsidP="00F2012E">
      <w:pPr>
        <w:spacing w:after="200" w:line="276" w:lineRule="auto"/>
        <w:rPr>
          <w:rStyle w:val="SubtleEmphasis"/>
          <w:rFonts w:ascii="Garamond" w:hAnsi="Garamond"/>
          <w:i w:val="0"/>
          <w:iCs w:val="0"/>
          <w:color w:val="auto"/>
        </w:rPr>
      </w:pPr>
      <w:r w:rsidRPr="00AE25FE">
        <w:rPr>
          <w:rStyle w:val="SubtleEmphasis"/>
          <w:rFonts w:ascii="Garamond" w:hAnsi="Garamond"/>
          <w:i w:val="0"/>
          <w:iCs w:val="0"/>
          <w:color w:val="auto"/>
        </w:rPr>
        <w:t xml:space="preserve">The </w:t>
      </w:r>
      <w:r w:rsidR="00B11A46" w:rsidRPr="00AE25FE">
        <w:rPr>
          <w:rStyle w:val="SubtleEmphasis"/>
          <w:rFonts w:ascii="Garamond" w:hAnsi="Garamond"/>
          <w:i w:val="0"/>
          <w:iCs w:val="0"/>
          <w:color w:val="auto"/>
        </w:rPr>
        <w:t xml:space="preserve">information matrix </w:t>
      </w:r>
      <w:r w:rsidRPr="00AE25FE">
        <w:rPr>
          <w:rStyle w:val="SubtleEmphasis"/>
          <w:rFonts w:ascii="Garamond" w:hAnsi="Garamond"/>
          <w:i w:val="0"/>
          <w:iCs w:val="0"/>
          <w:color w:val="auto"/>
        </w:rPr>
        <w:t>now appears as</w:t>
      </w:r>
      <w:r w:rsidR="006A0696" w:rsidRPr="00AE25FE">
        <w:rPr>
          <w:rStyle w:val="SubtleEmphasis"/>
          <w:rFonts w:ascii="Garamond" w:hAnsi="Garamond"/>
          <w:i w:val="0"/>
          <w:iCs w:val="0"/>
          <w:color w:val="auto"/>
        </w:rPr>
        <w:t>:</w:t>
      </w:r>
    </w:p>
    <w:p w:rsidR="00CC3D1B" w:rsidRPr="00AE25FE" w:rsidRDefault="00CC3D1B" w:rsidP="000F3A72">
      <w:pPr>
        <w:jc w:val="center"/>
        <w:rPr>
          <w:rStyle w:val="SubtleEmphasis"/>
          <w:rFonts w:ascii="Garamond" w:hAnsi="Garamond"/>
          <w:i w:val="0"/>
          <w:iCs w:val="0"/>
          <w:color w:val="auto"/>
        </w:rPr>
      </w:pPr>
      <w:r w:rsidRPr="00AE25FE">
        <w:rPr>
          <w:rStyle w:val="SubtleEmphasis"/>
          <w:rFonts w:ascii="Garamond" w:hAnsi="Garamond"/>
          <w:position w:val="-100"/>
        </w:rPr>
        <w:object w:dxaOrig="2880" w:dyaOrig="2120">
          <v:shape id="_x0000_i1030" type="#_x0000_t75" style="width:2in;height:105pt" o:ole="">
            <v:imagedata r:id="rId29" o:title=""/>
          </v:shape>
          <o:OLEObject Type="Embed" ProgID="Equation.DSMT4" ShapeID="_x0000_i1030" DrawAspect="Content" ObjectID="_1408696114" r:id="rId30"/>
        </w:object>
      </w:r>
      <w:r w:rsidRPr="00AE25FE">
        <w:rPr>
          <w:rStyle w:val="SubtleEmphasis"/>
          <w:rFonts w:ascii="Garamond" w:hAnsi="Garamond"/>
          <w:i w:val="0"/>
          <w:iCs w:val="0"/>
          <w:color w:val="auto"/>
        </w:rPr>
        <w:tab/>
      </w:r>
      <w:r w:rsidRPr="00AE25FE">
        <w:rPr>
          <w:rStyle w:val="SubtleEmphasis"/>
          <w:rFonts w:ascii="Garamond" w:hAnsi="Garamond"/>
          <w:i w:val="0"/>
          <w:iCs w:val="0"/>
          <w:color w:val="auto"/>
        </w:rPr>
        <w:tab/>
        <w:t>(10)</w:t>
      </w:r>
    </w:p>
    <w:p w:rsidR="00CC3D1B" w:rsidRPr="00AE25FE" w:rsidRDefault="00CC3D1B" w:rsidP="0017513B">
      <w:pPr>
        <w:rPr>
          <w:rStyle w:val="SubtleEmphasis"/>
          <w:rFonts w:ascii="Garamond" w:hAnsi="Garamond"/>
          <w:i w:val="0"/>
          <w:iCs w:val="0"/>
          <w:color w:val="auto"/>
        </w:rPr>
      </w:pPr>
    </w:p>
    <w:p w:rsidR="00CC3D1B" w:rsidRPr="00AE25FE" w:rsidRDefault="00CC3D1B" w:rsidP="00C1783A">
      <w:pPr>
        <w:rPr>
          <w:rStyle w:val="SubtleEmphasis"/>
          <w:rFonts w:ascii="Garamond" w:hAnsi="Garamond"/>
          <w:i w:val="0"/>
          <w:iCs w:val="0"/>
          <w:color w:val="auto"/>
        </w:rPr>
      </w:pPr>
      <w:proofErr w:type="gramStart"/>
      <w:r w:rsidRPr="00AE25FE">
        <w:rPr>
          <w:rStyle w:val="SubtleEmphasis"/>
          <w:rFonts w:ascii="Garamond" w:hAnsi="Garamond"/>
          <w:i w:val="0"/>
          <w:iCs w:val="0"/>
          <w:color w:val="auto"/>
        </w:rPr>
        <w:t>with</w:t>
      </w:r>
      <w:proofErr w:type="gramEnd"/>
      <w:r w:rsidRPr="00AE25FE">
        <w:rPr>
          <w:rStyle w:val="SubtleEmphasis"/>
          <w:rFonts w:ascii="Garamond" w:hAnsi="Garamond"/>
          <w:i w:val="0"/>
          <w:iCs w:val="0"/>
          <w:color w:val="auto"/>
        </w:rPr>
        <w:t xml:space="preserve"> the system weight rising from 5.1 to 9.5.</w:t>
      </w:r>
      <w:r w:rsidR="0036058A" w:rsidRPr="00AE25FE">
        <w:rPr>
          <w:rStyle w:val="SubtleEmphasis"/>
          <w:rFonts w:ascii="Garamond" w:hAnsi="Garamond"/>
          <w:i w:val="0"/>
          <w:iCs w:val="0"/>
          <w:color w:val="auto"/>
        </w:rPr>
        <w:t xml:space="preserve">  This occurs because the diverse units A, B, and C have merged (co</w:t>
      </w:r>
      <w:r w:rsidR="00CC5CBF" w:rsidRPr="00AE25FE">
        <w:rPr>
          <w:rStyle w:val="SubtleEmphasis"/>
          <w:rFonts w:ascii="Garamond" w:hAnsi="Garamond"/>
          <w:i w:val="0"/>
          <w:iCs w:val="0"/>
          <w:color w:val="auto"/>
        </w:rPr>
        <w:t>llocated)</w:t>
      </w:r>
      <w:r w:rsidR="00261B03" w:rsidRPr="00AE25FE">
        <w:rPr>
          <w:rStyle w:val="SubtleEmphasis"/>
          <w:rFonts w:ascii="Garamond" w:hAnsi="Garamond"/>
          <w:i w:val="0"/>
          <w:iCs w:val="0"/>
          <w:color w:val="auto"/>
        </w:rPr>
        <w:t xml:space="preserve">.  This leads to the observation that HIT </w:t>
      </w:r>
      <w:r w:rsidRPr="00AE25FE">
        <w:rPr>
          <w:rStyle w:val="SubtleEmphasis"/>
          <w:rFonts w:ascii="Garamond" w:hAnsi="Garamond"/>
          <w:i w:val="0"/>
          <w:iCs w:val="0"/>
          <w:color w:val="auto"/>
        </w:rPr>
        <w:t xml:space="preserve">maturity may be viewed as </w:t>
      </w:r>
      <w:r w:rsidRPr="00AE25FE">
        <w:rPr>
          <w:rStyle w:val="SubtleEmphasis"/>
          <w:rFonts w:ascii="Garamond" w:hAnsi="Garamond"/>
          <w:iCs w:val="0"/>
          <w:color w:val="auto"/>
        </w:rPr>
        <w:t>intra-unit</w:t>
      </w:r>
      <w:r w:rsidRPr="00AE25FE">
        <w:rPr>
          <w:rStyle w:val="SubtleEmphasis"/>
          <w:rFonts w:ascii="Garamond" w:hAnsi="Garamond"/>
          <w:i w:val="0"/>
          <w:iCs w:val="0"/>
          <w:color w:val="auto"/>
        </w:rPr>
        <w:t xml:space="preserve"> interoperability. This </w:t>
      </w:r>
      <w:r w:rsidR="00261B03" w:rsidRPr="00AE25FE">
        <w:rPr>
          <w:rStyle w:val="SubtleEmphasis"/>
          <w:rFonts w:ascii="Garamond" w:hAnsi="Garamond"/>
          <w:i w:val="0"/>
          <w:iCs w:val="0"/>
          <w:color w:val="auto"/>
        </w:rPr>
        <w:t xml:space="preserve">further </w:t>
      </w:r>
      <w:r w:rsidRPr="00AE25FE">
        <w:rPr>
          <w:rStyle w:val="SubtleEmphasis"/>
          <w:rFonts w:ascii="Garamond" w:hAnsi="Garamond"/>
          <w:i w:val="0"/>
          <w:iCs w:val="0"/>
          <w:color w:val="auto"/>
        </w:rPr>
        <w:t>suggests a continuum where the health provider node is</w:t>
      </w:r>
      <w:r w:rsidR="006A0696"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in fact</w:t>
      </w:r>
      <w:r w:rsidR="006A0696" w:rsidRPr="00AE25FE">
        <w:rPr>
          <w:rStyle w:val="SubtleEmphasis"/>
          <w:rFonts w:ascii="Garamond" w:hAnsi="Garamond"/>
          <w:i w:val="0"/>
          <w:iCs w:val="0"/>
          <w:color w:val="auto"/>
        </w:rPr>
        <w:t>,</w:t>
      </w:r>
      <w:r w:rsidRPr="00AE25FE">
        <w:rPr>
          <w:rStyle w:val="SubtleEmphasis"/>
          <w:rFonts w:ascii="Garamond" w:hAnsi="Garamond"/>
          <w:i w:val="0"/>
          <w:iCs w:val="0"/>
          <w:color w:val="auto"/>
        </w:rPr>
        <w:t xml:space="preserve"> a </w:t>
      </w:r>
      <w:r w:rsidRPr="00AE25FE">
        <w:rPr>
          <w:rStyle w:val="SubtleEmphasis"/>
          <w:rFonts w:ascii="Garamond" w:hAnsi="Garamond"/>
          <w:i w:val="0"/>
          <w:iCs w:val="0"/>
          <w:color w:val="auto"/>
        </w:rPr>
        <w:lastRenderedPageBreak/>
        <w:t xml:space="preserve">network of discrete </w:t>
      </w:r>
      <w:r w:rsidR="00F00DC7" w:rsidRPr="00AE25FE">
        <w:rPr>
          <w:rStyle w:val="SubtleEmphasis"/>
          <w:rFonts w:ascii="Garamond" w:hAnsi="Garamond"/>
          <w:i w:val="0"/>
          <w:iCs w:val="0"/>
          <w:color w:val="auto"/>
        </w:rPr>
        <w:t xml:space="preserve">internal </w:t>
      </w:r>
      <w:r w:rsidRPr="00AE25FE">
        <w:rPr>
          <w:rStyle w:val="SubtleEmphasis"/>
          <w:rFonts w:ascii="Garamond" w:hAnsi="Garamond"/>
          <w:i w:val="0"/>
          <w:iCs w:val="0"/>
          <w:color w:val="auto"/>
        </w:rPr>
        <w:t>information</w:t>
      </w:r>
      <w:r w:rsidR="00261B03" w:rsidRPr="00AE25FE">
        <w:rPr>
          <w:rStyle w:val="SubtleEmphasis"/>
          <w:rFonts w:ascii="Garamond" w:hAnsi="Garamond"/>
          <w:i w:val="0"/>
          <w:iCs w:val="0"/>
          <w:color w:val="auto"/>
        </w:rPr>
        <w:t xml:space="preserve"> nodes </w:t>
      </w:r>
      <w:r w:rsidRPr="00AE25FE">
        <w:rPr>
          <w:rStyle w:val="SubtleEmphasis"/>
          <w:rFonts w:ascii="Garamond" w:hAnsi="Garamond"/>
          <w:i w:val="0"/>
          <w:iCs w:val="0"/>
          <w:color w:val="auto"/>
        </w:rPr>
        <w:t xml:space="preserve">comprising clinical staff and patients. Maturity of the provider node and interoperability of the system of nodes emerge as measuring the same information </w:t>
      </w:r>
      <w:r w:rsidR="00F00DC7" w:rsidRPr="00AE25FE">
        <w:rPr>
          <w:rStyle w:val="SubtleEmphasis"/>
          <w:rFonts w:ascii="Garamond" w:hAnsi="Garamond"/>
          <w:i w:val="0"/>
          <w:iCs w:val="0"/>
          <w:color w:val="auto"/>
        </w:rPr>
        <w:t>transaction along</w:t>
      </w:r>
      <w:r w:rsidRPr="00AE25FE">
        <w:rPr>
          <w:rStyle w:val="SubtleEmphasis"/>
          <w:rFonts w:ascii="Garamond" w:hAnsi="Garamond"/>
          <w:i w:val="0"/>
          <w:iCs w:val="0"/>
          <w:color w:val="auto"/>
        </w:rPr>
        <w:t xml:space="preserve"> a continuum.  Therefore, in the same way it makes sense to refer to the maturity of implementation at any node as the percentage of information transactions that are electronic, the maturity of the </w:t>
      </w:r>
      <w:r w:rsidR="00B11A46" w:rsidRPr="00AE25FE">
        <w:rPr>
          <w:rStyle w:val="SubtleEmphasis"/>
          <w:rFonts w:ascii="Garamond" w:hAnsi="Garamond"/>
          <w:i w:val="0"/>
          <w:iCs w:val="0"/>
          <w:color w:val="auto"/>
        </w:rPr>
        <w:t xml:space="preserve">HIT </w:t>
      </w:r>
      <w:r w:rsidRPr="00AE25FE">
        <w:rPr>
          <w:rStyle w:val="SubtleEmphasis"/>
          <w:rFonts w:ascii="Garamond" w:hAnsi="Garamond"/>
          <w:i w:val="0"/>
          <w:iCs w:val="0"/>
          <w:color w:val="auto"/>
        </w:rPr>
        <w:t>implementation across the system simply expands the concept to all health care agents</w:t>
      </w:r>
      <w:r w:rsidR="00B11A46" w:rsidRPr="00AE25FE">
        <w:rPr>
          <w:rStyle w:val="SubtleEmphasis"/>
          <w:rFonts w:ascii="Garamond" w:hAnsi="Garamond"/>
          <w:i w:val="0"/>
          <w:iCs w:val="0"/>
          <w:color w:val="auto"/>
        </w:rPr>
        <w:t xml:space="preserve"> and nodes</w:t>
      </w:r>
      <w:r w:rsidRPr="00AE25FE">
        <w:rPr>
          <w:rStyle w:val="SubtleEmphasis"/>
          <w:rFonts w:ascii="Garamond" w:hAnsi="Garamond"/>
          <w:i w:val="0"/>
          <w:iCs w:val="0"/>
          <w:color w:val="auto"/>
        </w:rPr>
        <w:t xml:space="preserve">. </w:t>
      </w:r>
    </w:p>
    <w:p w:rsidR="00CC3D1B" w:rsidRPr="00AE25FE" w:rsidRDefault="00CC3D1B" w:rsidP="00C1783A">
      <w:pPr>
        <w:rPr>
          <w:rStyle w:val="SubtleEmphasis"/>
          <w:rFonts w:ascii="Garamond" w:hAnsi="Garamond"/>
          <w:i w:val="0"/>
          <w:iCs w:val="0"/>
          <w:color w:val="auto"/>
        </w:rPr>
      </w:pPr>
    </w:p>
    <w:p w:rsidR="00CC3D1B" w:rsidRPr="00AE25FE" w:rsidRDefault="00CC3D1B" w:rsidP="0017513B">
      <w:pPr>
        <w:rPr>
          <w:rFonts w:ascii="Garamond" w:hAnsi="Garamond"/>
        </w:rPr>
      </w:pPr>
      <w:r w:rsidRPr="00AE25FE">
        <w:rPr>
          <w:rFonts w:ascii="Garamond" w:hAnsi="Garamond"/>
        </w:rPr>
        <w:t>This leads to a simpl</w:t>
      </w:r>
      <w:r w:rsidR="0036112D" w:rsidRPr="00AE25FE">
        <w:rPr>
          <w:rFonts w:ascii="Garamond" w:hAnsi="Garamond"/>
        </w:rPr>
        <w:t>e</w:t>
      </w:r>
      <w:r w:rsidRPr="00AE25FE">
        <w:rPr>
          <w:rFonts w:ascii="Garamond" w:hAnsi="Garamond"/>
        </w:rPr>
        <w:t xml:space="preserve"> proxy measure for </w:t>
      </w:r>
      <w:r w:rsidR="00B11A46" w:rsidRPr="00AE25FE">
        <w:rPr>
          <w:rFonts w:ascii="Garamond" w:hAnsi="Garamond"/>
        </w:rPr>
        <w:t xml:space="preserve">HIT </w:t>
      </w:r>
      <w:r w:rsidRPr="00AE25FE">
        <w:rPr>
          <w:rFonts w:ascii="Garamond" w:hAnsi="Garamond"/>
        </w:rPr>
        <w:t>implementation that rests on three principles:</w:t>
      </w:r>
    </w:p>
    <w:p w:rsidR="00CC3D1B" w:rsidRPr="00AE25FE" w:rsidRDefault="00CC3D1B" w:rsidP="0017513B">
      <w:pPr>
        <w:rPr>
          <w:rFonts w:ascii="Garamond" w:hAnsi="Garamond"/>
        </w:rPr>
      </w:pPr>
    </w:p>
    <w:p w:rsidR="00CC3D1B" w:rsidRPr="00AE25FE" w:rsidRDefault="00CC3D1B" w:rsidP="007016D1">
      <w:pPr>
        <w:pStyle w:val="ListParagraph"/>
        <w:numPr>
          <w:ilvl w:val="0"/>
          <w:numId w:val="23"/>
        </w:numPr>
        <w:rPr>
          <w:rFonts w:ascii="Garamond" w:hAnsi="Garamond"/>
        </w:rPr>
      </w:pPr>
      <w:r w:rsidRPr="00AE25FE">
        <w:rPr>
          <w:rFonts w:ascii="Garamond" w:hAnsi="Garamond"/>
        </w:rPr>
        <w:t>The definition of the health information system us</w:t>
      </w:r>
      <w:r w:rsidR="00B11A46" w:rsidRPr="00AE25FE">
        <w:rPr>
          <w:rFonts w:ascii="Garamond" w:hAnsi="Garamond"/>
        </w:rPr>
        <w:t>es</w:t>
      </w:r>
      <w:r w:rsidRPr="00AE25FE">
        <w:rPr>
          <w:rFonts w:ascii="Garamond" w:hAnsi="Garamond"/>
        </w:rPr>
        <w:t xml:space="preserve"> a map of node and networks, </w:t>
      </w:r>
      <w:r w:rsidR="00B11A46" w:rsidRPr="00AE25FE">
        <w:rPr>
          <w:rFonts w:ascii="Garamond" w:hAnsi="Garamond"/>
        </w:rPr>
        <w:t xml:space="preserve">where nodes are defined at the lowest level </w:t>
      </w:r>
      <w:r w:rsidR="0036112D" w:rsidRPr="00AE25FE">
        <w:rPr>
          <w:rFonts w:ascii="Garamond" w:hAnsi="Garamond"/>
        </w:rPr>
        <w:t>(</w:t>
      </w:r>
      <w:r w:rsidR="00B11A46" w:rsidRPr="00AE25FE">
        <w:rPr>
          <w:rFonts w:ascii="Garamond" w:hAnsi="Garamond"/>
        </w:rPr>
        <w:t>the individual health practitioner</w:t>
      </w:r>
      <w:r w:rsidR="0036112D" w:rsidRPr="00AE25FE">
        <w:rPr>
          <w:rFonts w:ascii="Garamond" w:hAnsi="Garamond"/>
        </w:rPr>
        <w:t>)</w:t>
      </w:r>
      <w:r w:rsidR="00B11A46" w:rsidRPr="00AE25FE">
        <w:rPr>
          <w:rFonts w:ascii="Garamond" w:hAnsi="Garamond"/>
        </w:rPr>
        <w:t>.</w:t>
      </w:r>
    </w:p>
    <w:p w:rsidR="00CC3D1B" w:rsidRPr="00AE25FE" w:rsidRDefault="00CC3D1B" w:rsidP="00D1649C">
      <w:pPr>
        <w:rPr>
          <w:rFonts w:ascii="Garamond" w:hAnsi="Garamond"/>
        </w:rPr>
      </w:pPr>
    </w:p>
    <w:p w:rsidR="00CC3D1B" w:rsidRPr="00AE25FE" w:rsidRDefault="00CC3D1B" w:rsidP="007016D1">
      <w:pPr>
        <w:pStyle w:val="ListParagraph"/>
        <w:numPr>
          <w:ilvl w:val="0"/>
          <w:numId w:val="23"/>
        </w:numPr>
        <w:rPr>
          <w:rFonts w:ascii="Garamond" w:hAnsi="Garamond"/>
        </w:rPr>
      </w:pPr>
      <w:r w:rsidRPr="00AE25FE">
        <w:rPr>
          <w:rFonts w:ascii="Garamond" w:hAnsi="Garamond"/>
        </w:rPr>
        <w:t xml:space="preserve">The definition and counting of all information transactions </w:t>
      </w:r>
      <w:r w:rsidR="00B11A46" w:rsidRPr="00AE25FE">
        <w:rPr>
          <w:rFonts w:ascii="Garamond" w:hAnsi="Garamond"/>
        </w:rPr>
        <w:t>as electronic and non-electronic (manual) forms the empirical core of maturity and interoperability.</w:t>
      </w:r>
    </w:p>
    <w:p w:rsidR="00B11A46" w:rsidRPr="00E12892" w:rsidRDefault="00B11A46" w:rsidP="00E12892">
      <w:pPr>
        <w:rPr>
          <w:rFonts w:ascii="Garamond" w:hAnsi="Garamond"/>
        </w:rPr>
      </w:pPr>
    </w:p>
    <w:p w:rsidR="00B11A46" w:rsidRPr="00AE25FE" w:rsidRDefault="00B11A46" w:rsidP="007016D1">
      <w:pPr>
        <w:pStyle w:val="ListParagraph"/>
        <w:numPr>
          <w:ilvl w:val="0"/>
          <w:numId w:val="23"/>
        </w:numPr>
        <w:rPr>
          <w:rFonts w:ascii="Garamond" w:hAnsi="Garamond"/>
        </w:rPr>
      </w:pPr>
      <w:r w:rsidRPr="00AE25FE">
        <w:rPr>
          <w:rFonts w:ascii="Garamond" w:hAnsi="Garamond"/>
        </w:rPr>
        <w:t xml:space="preserve">The weight of the information </w:t>
      </w:r>
      <w:r w:rsidR="005663A1" w:rsidRPr="00AE25FE">
        <w:rPr>
          <w:rFonts w:ascii="Garamond" w:hAnsi="Garamond"/>
        </w:rPr>
        <w:t xml:space="preserve">matrix </w:t>
      </w:r>
      <w:r w:rsidR="00DC3A05" w:rsidRPr="00AE25FE">
        <w:rPr>
          <w:rFonts w:ascii="Garamond" w:hAnsi="Garamond"/>
        </w:rPr>
        <w:t>should never decrease with collocation, after an implementation period, since the goal of collocation is to reduce transactions costs</w:t>
      </w:r>
      <w:r w:rsidR="0036112D" w:rsidRPr="00AE25FE">
        <w:rPr>
          <w:rFonts w:ascii="Garamond" w:hAnsi="Garamond"/>
        </w:rPr>
        <w:t>.</w:t>
      </w:r>
    </w:p>
    <w:p w:rsidR="00CC3D1B" w:rsidRPr="00AE25FE" w:rsidRDefault="00CC3D1B" w:rsidP="00D1649C">
      <w:pPr>
        <w:rPr>
          <w:rFonts w:ascii="Garamond" w:hAnsi="Garamond"/>
        </w:rPr>
      </w:pPr>
    </w:p>
    <w:p w:rsidR="00304B7F" w:rsidRPr="00AE25FE" w:rsidRDefault="00CC3D1B" w:rsidP="00304B7F">
      <w:pPr>
        <w:rPr>
          <w:rFonts w:ascii="Garamond" w:hAnsi="Garamond"/>
        </w:rPr>
      </w:pPr>
      <w:r w:rsidRPr="00AE25FE">
        <w:rPr>
          <w:rFonts w:ascii="Garamond" w:hAnsi="Garamond"/>
        </w:rPr>
        <w:t xml:space="preserve">The apparent simplicity of this quantification can obscure the important work that remains to be done in translating </w:t>
      </w:r>
      <w:r w:rsidR="009B360A" w:rsidRPr="00AE25FE">
        <w:rPr>
          <w:rFonts w:ascii="Garamond" w:hAnsi="Garamond"/>
        </w:rPr>
        <w:t>HIT</w:t>
      </w:r>
      <w:r w:rsidRPr="00AE25FE">
        <w:rPr>
          <w:rFonts w:ascii="Garamond" w:hAnsi="Garamond"/>
        </w:rPr>
        <w:t xml:space="preserve"> attributes into information transactional equivalents for the individual health delivery node. </w:t>
      </w:r>
      <w:r w:rsidR="00304B7F" w:rsidRPr="00AE25FE">
        <w:rPr>
          <w:rFonts w:ascii="Garamond" w:hAnsi="Garamond"/>
        </w:rPr>
        <w:t xml:space="preserve"> Some of the implications and questions that remain to be explored within this conceptual model include</w:t>
      </w:r>
      <w:r w:rsidR="0036112D" w:rsidRPr="00AE25FE">
        <w:rPr>
          <w:rFonts w:ascii="Garamond" w:hAnsi="Garamond"/>
        </w:rPr>
        <w:t xml:space="preserve"> the following</w:t>
      </w:r>
      <w:r w:rsidR="00304B7F" w:rsidRPr="00AE25FE">
        <w:rPr>
          <w:rFonts w:ascii="Garamond" w:hAnsi="Garamond"/>
        </w:rPr>
        <w:t>:</w:t>
      </w:r>
    </w:p>
    <w:p w:rsidR="00304B7F" w:rsidRPr="00AE25FE" w:rsidRDefault="00304B7F" w:rsidP="00304B7F">
      <w:pPr>
        <w:pStyle w:val="ListParagraph"/>
        <w:contextualSpacing w:val="0"/>
        <w:rPr>
          <w:rFonts w:ascii="Garamond" w:hAnsi="Garamond"/>
        </w:rPr>
      </w:pPr>
    </w:p>
    <w:p w:rsidR="00304B7F" w:rsidRPr="00AE25FE" w:rsidRDefault="00304B7F" w:rsidP="00304B7F">
      <w:pPr>
        <w:pStyle w:val="ListParagraph"/>
        <w:numPr>
          <w:ilvl w:val="0"/>
          <w:numId w:val="20"/>
        </w:numPr>
        <w:contextualSpacing w:val="0"/>
        <w:rPr>
          <w:rFonts w:ascii="Garamond" w:hAnsi="Garamond"/>
        </w:rPr>
      </w:pPr>
      <w:r w:rsidRPr="00AE25FE">
        <w:rPr>
          <w:rFonts w:ascii="Garamond" w:hAnsi="Garamond"/>
        </w:rPr>
        <w:t xml:space="preserve">The unit of analysis within the provider unit is the individual practitioner.  Increasing facility with HIT simply means that a high percentage of information </w:t>
      </w:r>
      <w:r w:rsidR="006F62A7" w:rsidRPr="00AE25FE">
        <w:rPr>
          <w:rFonts w:ascii="Garamond" w:hAnsi="Garamond"/>
        </w:rPr>
        <w:t>exchanges are</w:t>
      </w:r>
      <w:r w:rsidRPr="00AE25FE">
        <w:rPr>
          <w:rFonts w:ascii="Garamond" w:hAnsi="Garamond"/>
        </w:rPr>
        <w:t xml:space="preserve"> electronic.</w:t>
      </w:r>
    </w:p>
    <w:p w:rsidR="00304B7F" w:rsidRPr="00AE25FE" w:rsidRDefault="00304B7F" w:rsidP="00304B7F">
      <w:pPr>
        <w:pStyle w:val="ListParagraph"/>
        <w:contextualSpacing w:val="0"/>
        <w:rPr>
          <w:rFonts w:ascii="Garamond" w:hAnsi="Garamond"/>
        </w:rPr>
      </w:pPr>
    </w:p>
    <w:p w:rsidR="00304B7F" w:rsidRPr="00AE25FE" w:rsidRDefault="00304B7F" w:rsidP="00304B7F">
      <w:pPr>
        <w:pStyle w:val="ListParagraph"/>
        <w:numPr>
          <w:ilvl w:val="0"/>
          <w:numId w:val="20"/>
        </w:numPr>
        <w:contextualSpacing w:val="0"/>
        <w:rPr>
          <w:rFonts w:ascii="Garamond" w:hAnsi="Garamond"/>
        </w:rPr>
      </w:pPr>
      <w:r w:rsidRPr="00AE25FE">
        <w:rPr>
          <w:rFonts w:ascii="Garamond" w:hAnsi="Garamond"/>
        </w:rPr>
        <w:t>Not all information exchange is capable of electronic representation.  Examples include provider patient interactions and provider consultations.</w:t>
      </w:r>
    </w:p>
    <w:p w:rsidR="00304B7F" w:rsidRPr="00AE25FE" w:rsidRDefault="00304B7F" w:rsidP="00304B7F">
      <w:pPr>
        <w:pStyle w:val="ListParagraph"/>
        <w:contextualSpacing w:val="0"/>
        <w:rPr>
          <w:rFonts w:ascii="Garamond" w:hAnsi="Garamond"/>
        </w:rPr>
      </w:pPr>
    </w:p>
    <w:p w:rsidR="00304B7F" w:rsidRPr="00AE25FE" w:rsidRDefault="00304B7F" w:rsidP="00304B7F">
      <w:pPr>
        <w:pStyle w:val="ListParagraph"/>
        <w:numPr>
          <w:ilvl w:val="0"/>
          <w:numId w:val="20"/>
        </w:numPr>
        <w:contextualSpacing w:val="0"/>
        <w:rPr>
          <w:rFonts w:ascii="Garamond" w:hAnsi="Garamond"/>
        </w:rPr>
      </w:pPr>
      <w:r w:rsidRPr="00AE25FE">
        <w:rPr>
          <w:rFonts w:ascii="Garamond" w:hAnsi="Garamond"/>
        </w:rPr>
        <w:t xml:space="preserve">Counting electronic transactions can be implemented within </w:t>
      </w:r>
      <w:r w:rsidR="006F62A7" w:rsidRPr="00AE25FE">
        <w:rPr>
          <w:rFonts w:ascii="Garamond" w:hAnsi="Garamond"/>
        </w:rPr>
        <w:t>most HIT</w:t>
      </w:r>
      <w:r w:rsidRPr="00AE25FE">
        <w:rPr>
          <w:rFonts w:ascii="Garamond" w:hAnsi="Garamond"/>
        </w:rPr>
        <w:t xml:space="preserve"> systems.  </w:t>
      </w:r>
      <w:r w:rsidR="0036112D" w:rsidRPr="00AE25FE">
        <w:rPr>
          <w:rFonts w:ascii="Garamond" w:hAnsi="Garamond"/>
        </w:rPr>
        <w:t>However, physical</w:t>
      </w:r>
      <w:r w:rsidRPr="00AE25FE">
        <w:rPr>
          <w:rFonts w:ascii="Garamond" w:hAnsi="Garamond"/>
        </w:rPr>
        <w:t xml:space="preserve"> audit</w:t>
      </w:r>
      <w:r w:rsidR="009B360A" w:rsidRPr="00AE25FE">
        <w:rPr>
          <w:rFonts w:ascii="Garamond" w:hAnsi="Garamond"/>
        </w:rPr>
        <w:t>s</w:t>
      </w:r>
      <w:r w:rsidRPr="00AE25FE">
        <w:rPr>
          <w:rFonts w:ascii="Garamond" w:hAnsi="Garamond"/>
        </w:rPr>
        <w:t xml:space="preserve"> of the provider using a sampling strategy </w:t>
      </w:r>
      <w:r w:rsidR="009B360A" w:rsidRPr="00AE25FE">
        <w:rPr>
          <w:rFonts w:ascii="Garamond" w:hAnsi="Garamond"/>
        </w:rPr>
        <w:t xml:space="preserve">are needed to </w:t>
      </w:r>
      <w:r w:rsidRPr="00AE25FE">
        <w:rPr>
          <w:rFonts w:ascii="Garamond" w:hAnsi="Garamond"/>
        </w:rPr>
        <w:t>sup</w:t>
      </w:r>
      <w:r w:rsidR="0036112D" w:rsidRPr="00AE25FE">
        <w:rPr>
          <w:rFonts w:ascii="Garamond" w:hAnsi="Garamond"/>
        </w:rPr>
        <w:t>port quantification of the non-</w:t>
      </w:r>
      <w:r w:rsidRPr="00AE25FE">
        <w:rPr>
          <w:rFonts w:ascii="Garamond" w:hAnsi="Garamond"/>
        </w:rPr>
        <w:t>electronic transactions.</w:t>
      </w:r>
    </w:p>
    <w:p w:rsidR="00304B7F" w:rsidRPr="00AE25FE" w:rsidRDefault="00304B7F" w:rsidP="00304B7F">
      <w:pPr>
        <w:ind w:left="360"/>
        <w:rPr>
          <w:rFonts w:ascii="Garamond" w:hAnsi="Garamond"/>
        </w:rPr>
      </w:pPr>
    </w:p>
    <w:p w:rsidR="00304B7F" w:rsidRPr="00AE25FE" w:rsidRDefault="0036112D" w:rsidP="00304B7F">
      <w:pPr>
        <w:pStyle w:val="ListParagraph"/>
        <w:numPr>
          <w:ilvl w:val="0"/>
          <w:numId w:val="20"/>
        </w:numPr>
        <w:contextualSpacing w:val="0"/>
        <w:rPr>
          <w:rFonts w:ascii="Garamond" w:hAnsi="Garamond"/>
        </w:rPr>
      </w:pPr>
      <w:r w:rsidRPr="00AE25FE">
        <w:rPr>
          <w:rFonts w:ascii="Garamond" w:hAnsi="Garamond"/>
        </w:rPr>
        <w:t>As</w:t>
      </w:r>
      <w:r w:rsidR="00304B7F" w:rsidRPr="00AE25FE">
        <w:rPr>
          <w:rFonts w:ascii="Garamond" w:hAnsi="Garamond"/>
        </w:rPr>
        <w:t xml:space="preserve"> HIT technology advances, new </w:t>
      </w:r>
      <w:r w:rsidR="00507F52" w:rsidRPr="00AE25FE">
        <w:rPr>
          <w:rFonts w:ascii="Garamond" w:hAnsi="Garamond"/>
        </w:rPr>
        <w:t>feature</w:t>
      </w:r>
      <w:r w:rsidR="00304B7F" w:rsidRPr="00AE25FE">
        <w:rPr>
          <w:rFonts w:ascii="Garamond" w:hAnsi="Garamond"/>
        </w:rPr>
        <w:t xml:space="preserve">s will emerge. This </w:t>
      </w:r>
      <w:r w:rsidRPr="00AE25FE">
        <w:rPr>
          <w:rFonts w:ascii="Garamond" w:hAnsi="Garamond"/>
        </w:rPr>
        <w:t xml:space="preserve">likely </w:t>
      </w:r>
      <w:r w:rsidR="00304B7F" w:rsidRPr="00AE25FE">
        <w:rPr>
          <w:rFonts w:ascii="Garamond" w:hAnsi="Garamond"/>
        </w:rPr>
        <w:t xml:space="preserve">will mean that electronic interactions will </w:t>
      </w:r>
      <w:r w:rsidR="009B360A" w:rsidRPr="00AE25FE">
        <w:rPr>
          <w:rFonts w:ascii="Garamond" w:hAnsi="Garamond"/>
        </w:rPr>
        <w:t>emerge</w:t>
      </w:r>
      <w:r w:rsidR="00304B7F" w:rsidRPr="00AE25FE">
        <w:rPr>
          <w:rFonts w:ascii="Garamond" w:hAnsi="Garamond"/>
        </w:rPr>
        <w:t xml:space="preserve"> that have no </w:t>
      </w:r>
      <w:r w:rsidR="009B360A" w:rsidRPr="00AE25FE">
        <w:rPr>
          <w:rFonts w:ascii="Garamond" w:hAnsi="Garamond"/>
        </w:rPr>
        <w:t>current practice</w:t>
      </w:r>
      <w:r w:rsidR="00304B7F" w:rsidRPr="00AE25FE">
        <w:rPr>
          <w:rFonts w:ascii="Garamond" w:hAnsi="Garamond"/>
        </w:rPr>
        <w:t xml:space="preserve"> manual analogue. </w:t>
      </w:r>
      <w:r w:rsidR="009B360A" w:rsidRPr="00AE25FE">
        <w:rPr>
          <w:rFonts w:ascii="Garamond" w:hAnsi="Garamond"/>
        </w:rPr>
        <w:t xml:space="preserve"> Diagnostic support algorithms that ensure physicians use evidence bases to identify conditions might be an example.  For practical measurement </w:t>
      </w:r>
      <w:r w:rsidR="006F62A7" w:rsidRPr="00AE25FE">
        <w:rPr>
          <w:rFonts w:ascii="Garamond" w:hAnsi="Garamond"/>
        </w:rPr>
        <w:t>o</w:t>
      </w:r>
      <w:r w:rsidRPr="00AE25FE">
        <w:rPr>
          <w:rFonts w:ascii="Garamond" w:hAnsi="Garamond"/>
        </w:rPr>
        <w:t>f</w:t>
      </w:r>
      <w:r w:rsidR="00304B7F" w:rsidRPr="00AE25FE">
        <w:rPr>
          <w:rFonts w:ascii="Garamond" w:hAnsi="Garamond"/>
        </w:rPr>
        <w:t xml:space="preserve"> HIT</w:t>
      </w:r>
      <w:r w:rsidR="009B360A" w:rsidRPr="00AE25FE">
        <w:rPr>
          <w:rFonts w:ascii="Garamond" w:hAnsi="Garamond"/>
        </w:rPr>
        <w:t xml:space="preserve"> implementation</w:t>
      </w:r>
      <w:r w:rsidR="00304B7F" w:rsidRPr="00AE25FE">
        <w:rPr>
          <w:rFonts w:ascii="Garamond" w:hAnsi="Garamond"/>
        </w:rPr>
        <w:t xml:space="preserve">, it may make sense to define a minimum capability where electronic data exchange has </w:t>
      </w:r>
      <w:r w:rsidR="009B360A" w:rsidRPr="00AE25FE">
        <w:rPr>
          <w:rFonts w:ascii="Garamond" w:hAnsi="Garamond"/>
        </w:rPr>
        <w:t xml:space="preserve">current </w:t>
      </w:r>
      <w:r w:rsidR="00304B7F" w:rsidRPr="00AE25FE">
        <w:rPr>
          <w:rFonts w:ascii="Garamond" w:hAnsi="Garamond"/>
        </w:rPr>
        <w:t>manual analogue</w:t>
      </w:r>
      <w:r w:rsidR="009B360A" w:rsidRPr="00AE25FE">
        <w:rPr>
          <w:rFonts w:ascii="Garamond" w:hAnsi="Garamond"/>
        </w:rPr>
        <w:t>s (e.g. prescriptions, tests)</w:t>
      </w:r>
      <w:r w:rsidRPr="00AE25FE">
        <w:rPr>
          <w:rFonts w:ascii="Garamond" w:hAnsi="Garamond"/>
        </w:rPr>
        <w:t>.</w:t>
      </w:r>
    </w:p>
    <w:p w:rsidR="00304B7F" w:rsidRPr="00AE25FE" w:rsidRDefault="00304B7F" w:rsidP="00304B7F">
      <w:pPr>
        <w:pStyle w:val="ListParagraph"/>
        <w:contextualSpacing w:val="0"/>
        <w:rPr>
          <w:rFonts w:ascii="Garamond" w:hAnsi="Garamond"/>
        </w:rPr>
      </w:pPr>
    </w:p>
    <w:p w:rsidR="00304B7F" w:rsidRPr="00AE25FE" w:rsidRDefault="00304B7F" w:rsidP="00304B7F">
      <w:pPr>
        <w:pStyle w:val="ListParagraph"/>
        <w:numPr>
          <w:ilvl w:val="0"/>
          <w:numId w:val="20"/>
        </w:numPr>
        <w:contextualSpacing w:val="0"/>
        <w:rPr>
          <w:rFonts w:ascii="Garamond" w:hAnsi="Garamond"/>
        </w:rPr>
      </w:pPr>
      <w:r w:rsidRPr="00AE25FE">
        <w:rPr>
          <w:rFonts w:ascii="Garamond" w:hAnsi="Garamond"/>
        </w:rPr>
        <w:t xml:space="preserve">Development of HIT is continuous with constant innovation in attributes and </w:t>
      </w:r>
      <w:r w:rsidR="00507F52" w:rsidRPr="00AE25FE">
        <w:rPr>
          <w:rFonts w:ascii="Garamond" w:hAnsi="Garamond"/>
        </w:rPr>
        <w:t>feature</w:t>
      </w:r>
      <w:r w:rsidRPr="00AE25FE">
        <w:rPr>
          <w:rFonts w:ascii="Garamond" w:hAnsi="Garamond"/>
        </w:rPr>
        <w:t>s. Payers within a jurisdiction that subsidise the adoption of this technology need to define the dimensionality of the systems and then set target levels of implementation for each dimension.</w:t>
      </w:r>
    </w:p>
    <w:p w:rsidR="00304B7F" w:rsidRPr="00AE25FE" w:rsidRDefault="00304B7F" w:rsidP="00304B7F">
      <w:pPr>
        <w:pStyle w:val="ListParagraph"/>
        <w:contextualSpacing w:val="0"/>
        <w:rPr>
          <w:rFonts w:ascii="Garamond" w:hAnsi="Garamond"/>
        </w:rPr>
      </w:pPr>
    </w:p>
    <w:p w:rsidR="00CC3D1B" w:rsidRPr="00AE25FE" w:rsidRDefault="00CC3D1B" w:rsidP="0017513B">
      <w:pPr>
        <w:rPr>
          <w:rFonts w:ascii="Garamond" w:hAnsi="Garamond"/>
        </w:rPr>
      </w:pPr>
    </w:p>
    <w:p w:rsidR="00CC3D1B" w:rsidRPr="00DF4210" w:rsidRDefault="00CC3D1B" w:rsidP="00DC3A05">
      <w:pPr>
        <w:pStyle w:val="Heading1"/>
        <w:numPr>
          <w:ilvl w:val="0"/>
          <w:numId w:val="0"/>
        </w:numPr>
        <w:ind w:left="720" w:hanging="720"/>
        <w:rPr>
          <w:rFonts w:ascii="Garamond" w:hAnsi="Garamond"/>
          <w:sz w:val="28"/>
        </w:rPr>
      </w:pPr>
      <w:bookmarkStart w:id="10" w:name="_Toc323718563"/>
      <w:r w:rsidRPr="00DF4210">
        <w:rPr>
          <w:rFonts w:ascii="Garamond" w:hAnsi="Garamond"/>
          <w:sz w:val="28"/>
        </w:rPr>
        <w:lastRenderedPageBreak/>
        <w:t>Summary</w:t>
      </w:r>
      <w:bookmarkEnd w:id="10"/>
    </w:p>
    <w:p w:rsidR="00CC3D1B" w:rsidRPr="00AE25FE" w:rsidRDefault="00CC3D1B" w:rsidP="003E4A5A">
      <w:pPr>
        <w:rPr>
          <w:rFonts w:ascii="Garamond" w:hAnsi="Garamond"/>
        </w:rPr>
      </w:pPr>
    </w:p>
    <w:p w:rsidR="006F62A7" w:rsidRPr="00AE25FE" w:rsidRDefault="00CC3D1B" w:rsidP="00D1649C">
      <w:pPr>
        <w:rPr>
          <w:rFonts w:ascii="Garamond" w:hAnsi="Garamond"/>
        </w:rPr>
      </w:pPr>
      <w:r w:rsidRPr="00AE25FE">
        <w:rPr>
          <w:rFonts w:ascii="Garamond" w:hAnsi="Garamond"/>
        </w:rPr>
        <w:t xml:space="preserve">This paper has suggested that </w:t>
      </w:r>
      <w:r w:rsidR="00DC3A05" w:rsidRPr="00AE25FE">
        <w:rPr>
          <w:rFonts w:ascii="Garamond" w:hAnsi="Garamond"/>
        </w:rPr>
        <w:t xml:space="preserve">HIT </w:t>
      </w:r>
      <w:r w:rsidRPr="00AE25FE">
        <w:rPr>
          <w:rFonts w:ascii="Garamond" w:hAnsi="Garamond"/>
        </w:rPr>
        <w:t xml:space="preserve">maturity and interoperability </w:t>
      </w:r>
      <w:r w:rsidR="0036112D" w:rsidRPr="00AE25FE">
        <w:rPr>
          <w:rFonts w:ascii="Garamond" w:hAnsi="Garamond"/>
        </w:rPr>
        <w:t xml:space="preserve">both </w:t>
      </w:r>
      <w:r w:rsidRPr="00AE25FE">
        <w:rPr>
          <w:rFonts w:ascii="Garamond" w:hAnsi="Garamond"/>
        </w:rPr>
        <w:t>may be interpreted as information flows.  Therefore, maturity and interoperability refer to data transactions, the first referencing</w:t>
      </w:r>
      <w:r w:rsidRPr="00AE25FE">
        <w:rPr>
          <w:rFonts w:ascii="Garamond" w:hAnsi="Garamond"/>
          <w:i/>
        </w:rPr>
        <w:t xml:space="preserve"> intra</w:t>
      </w:r>
      <w:r w:rsidRPr="00AE25FE">
        <w:rPr>
          <w:rFonts w:ascii="Garamond" w:hAnsi="Garamond"/>
        </w:rPr>
        <w:t>-provider and</w:t>
      </w:r>
      <w:r w:rsidRPr="00AE25FE">
        <w:rPr>
          <w:rFonts w:ascii="Garamond" w:hAnsi="Garamond"/>
          <w:i/>
        </w:rPr>
        <w:t xml:space="preserve"> </w:t>
      </w:r>
      <w:r w:rsidRPr="00AE25FE">
        <w:rPr>
          <w:rFonts w:ascii="Garamond" w:hAnsi="Garamond"/>
        </w:rPr>
        <w:t>the second referencing</w:t>
      </w:r>
      <w:r w:rsidRPr="00AE25FE">
        <w:rPr>
          <w:rFonts w:ascii="Garamond" w:hAnsi="Garamond"/>
          <w:i/>
        </w:rPr>
        <w:t xml:space="preserve"> inter-</w:t>
      </w:r>
      <w:r w:rsidR="006F62A7" w:rsidRPr="00AE25FE">
        <w:rPr>
          <w:rFonts w:ascii="Garamond" w:hAnsi="Garamond"/>
        </w:rPr>
        <w:t>provider</w:t>
      </w:r>
      <w:r w:rsidRPr="00AE25FE">
        <w:rPr>
          <w:rFonts w:ascii="Garamond" w:hAnsi="Garamond"/>
        </w:rPr>
        <w:t xml:space="preserve"> information exchange. </w:t>
      </w:r>
      <w:r w:rsidR="00DC3A05" w:rsidRPr="00AE25FE">
        <w:rPr>
          <w:rFonts w:ascii="Garamond" w:hAnsi="Garamond"/>
        </w:rPr>
        <w:t xml:space="preserve"> However, these concepts become indistinguishable when mapped as a graph and its corresponding information matrix</w:t>
      </w:r>
      <w:r w:rsidR="00840DC4" w:rsidRPr="00AE25FE">
        <w:rPr>
          <w:rFonts w:ascii="Garamond" w:hAnsi="Garamond"/>
        </w:rPr>
        <w:t>.</w:t>
      </w:r>
    </w:p>
    <w:p w:rsidR="006F62A7" w:rsidRPr="00AE25FE" w:rsidRDefault="006F62A7" w:rsidP="00D1649C">
      <w:pPr>
        <w:rPr>
          <w:rFonts w:ascii="Garamond" w:hAnsi="Garamond"/>
        </w:rPr>
      </w:pPr>
    </w:p>
    <w:p w:rsidR="00CC3D1B" w:rsidRPr="00AE25FE" w:rsidRDefault="00CC3D1B" w:rsidP="00D1649C">
      <w:pPr>
        <w:rPr>
          <w:rFonts w:ascii="Garamond" w:hAnsi="Garamond"/>
        </w:rPr>
      </w:pPr>
      <w:r w:rsidRPr="00AE25FE">
        <w:rPr>
          <w:rFonts w:ascii="Garamond" w:hAnsi="Garamond"/>
        </w:rPr>
        <w:t xml:space="preserve">The percentage of these transactions that are electronic serves as a proxy measure of </w:t>
      </w:r>
      <w:r w:rsidR="00067F10" w:rsidRPr="00AE25FE">
        <w:rPr>
          <w:rFonts w:ascii="Garamond" w:hAnsi="Garamond"/>
        </w:rPr>
        <w:t xml:space="preserve">HIT </w:t>
      </w:r>
      <w:r w:rsidRPr="00AE25FE">
        <w:rPr>
          <w:rFonts w:ascii="Garamond" w:hAnsi="Garamond"/>
        </w:rPr>
        <w:t xml:space="preserve">implementation.  The next step is to translate attribute and stage models of </w:t>
      </w:r>
      <w:r w:rsidR="00067F10" w:rsidRPr="00AE25FE">
        <w:rPr>
          <w:rFonts w:ascii="Garamond" w:hAnsi="Garamond"/>
        </w:rPr>
        <w:t xml:space="preserve">HIT </w:t>
      </w:r>
      <w:r w:rsidRPr="00AE25FE">
        <w:rPr>
          <w:rFonts w:ascii="Garamond" w:hAnsi="Garamond"/>
        </w:rPr>
        <w:t xml:space="preserve">maturity into information transaction equivalencies and then to measure the level of electronic inter-provider data transactions.  At that point, it becomes possible to develop a quantitative measure of electronic data interchange as a proportion of all data transactions — this </w:t>
      </w:r>
      <w:r w:rsidR="006F62A7" w:rsidRPr="00AE25FE">
        <w:rPr>
          <w:rFonts w:ascii="Garamond" w:hAnsi="Garamond"/>
        </w:rPr>
        <w:t xml:space="preserve">becomes </w:t>
      </w:r>
      <w:r w:rsidRPr="00AE25FE">
        <w:rPr>
          <w:rFonts w:ascii="Garamond" w:hAnsi="Garamond"/>
        </w:rPr>
        <w:t xml:space="preserve">the needed independent variable in the estimation of eHealth value for money. </w:t>
      </w:r>
    </w:p>
    <w:p w:rsidR="00CC3D1B" w:rsidRPr="00AE25FE" w:rsidRDefault="00CC3D1B" w:rsidP="002C3A87">
      <w:pPr>
        <w:rPr>
          <w:rFonts w:ascii="Garamond" w:hAnsi="Garamond"/>
        </w:rPr>
      </w:pPr>
    </w:p>
    <w:p w:rsidR="00CC3D1B" w:rsidRPr="00AE25FE" w:rsidRDefault="00CC3D1B" w:rsidP="00BC485F">
      <w:pPr>
        <w:rPr>
          <w:rStyle w:val="SubtleEmphasis"/>
          <w:rFonts w:ascii="Garamond" w:hAnsi="Garamond"/>
          <w:i w:val="0"/>
          <w:iCs w:val="0"/>
          <w:color w:val="auto"/>
        </w:rPr>
      </w:pPr>
    </w:p>
    <w:p w:rsidR="00DF4210" w:rsidRDefault="00DF4210">
      <w:pPr>
        <w:rPr>
          <w:rStyle w:val="SubtleEmphasis"/>
          <w:rFonts w:ascii="Garamond" w:hAnsi="Garamond"/>
          <w:b/>
          <w:i w:val="0"/>
          <w:iCs w:val="0"/>
          <w:color w:val="auto"/>
          <w:sz w:val="28"/>
          <w:szCs w:val="28"/>
        </w:rPr>
      </w:pPr>
      <w:r>
        <w:rPr>
          <w:rStyle w:val="SubtleEmphasis"/>
          <w:rFonts w:ascii="Garamond" w:hAnsi="Garamond"/>
          <w:b/>
          <w:i w:val="0"/>
          <w:iCs w:val="0"/>
          <w:color w:val="auto"/>
          <w:sz w:val="28"/>
          <w:szCs w:val="28"/>
        </w:rPr>
        <w:br w:type="page"/>
      </w:r>
    </w:p>
    <w:p w:rsidR="00CC3D1B" w:rsidRPr="00DF4210" w:rsidRDefault="00170A71">
      <w:pPr>
        <w:spacing w:after="200" w:line="276" w:lineRule="auto"/>
        <w:rPr>
          <w:rStyle w:val="SubtleEmphasis"/>
          <w:rFonts w:ascii="Garamond" w:hAnsi="Garamond"/>
          <w:b/>
          <w:i w:val="0"/>
          <w:iCs w:val="0"/>
          <w:color w:val="auto"/>
          <w:sz w:val="28"/>
          <w:szCs w:val="28"/>
        </w:rPr>
      </w:pPr>
      <w:r w:rsidRPr="00DF4210">
        <w:rPr>
          <w:rStyle w:val="SubtleEmphasis"/>
          <w:rFonts w:ascii="Garamond" w:hAnsi="Garamond"/>
          <w:b/>
          <w:i w:val="0"/>
          <w:iCs w:val="0"/>
          <w:color w:val="auto"/>
          <w:sz w:val="28"/>
          <w:szCs w:val="28"/>
        </w:rPr>
        <w:lastRenderedPageBreak/>
        <w:t xml:space="preserve">Technical Appendix </w:t>
      </w:r>
    </w:p>
    <w:p w:rsidR="00170A71" w:rsidRPr="00AE25FE" w:rsidRDefault="00170A71" w:rsidP="00DF4210">
      <w:pPr>
        <w:spacing w:after="200" w:line="276" w:lineRule="auto"/>
        <w:ind w:firstLine="720"/>
        <w:rPr>
          <w:rStyle w:val="SubtleEmphasis"/>
          <w:rFonts w:ascii="Garamond" w:hAnsi="Garamond"/>
          <w:b/>
          <w:i w:val="0"/>
          <w:iCs w:val="0"/>
          <w:color w:val="auto"/>
        </w:rPr>
      </w:pPr>
      <w:r w:rsidRPr="00AE25FE">
        <w:rPr>
          <w:rStyle w:val="SubtleEmphasis"/>
          <w:rFonts w:ascii="Garamond" w:hAnsi="Garamond"/>
          <w:b/>
          <w:i w:val="0"/>
          <w:iCs w:val="0"/>
          <w:color w:val="auto"/>
        </w:rPr>
        <w:t>Measurement of maturity</w:t>
      </w:r>
    </w:p>
    <w:p w:rsidR="00170A71" w:rsidRPr="00AE25FE" w:rsidRDefault="00170A71" w:rsidP="00170A71">
      <w:pPr>
        <w:rPr>
          <w:rFonts w:ascii="Garamond" w:hAnsi="Garamond"/>
        </w:rPr>
      </w:pPr>
      <w:r w:rsidRPr="00AE25FE">
        <w:rPr>
          <w:rFonts w:ascii="Garamond" w:hAnsi="Garamond"/>
        </w:rPr>
        <w:t xml:space="preserve">Reflecting back </w:t>
      </w:r>
      <w:r w:rsidR="0036112D" w:rsidRPr="00AE25FE">
        <w:rPr>
          <w:rFonts w:ascii="Garamond" w:hAnsi="Garamond"/>
        </w:rPr>
        <w:t xml:space="preserve">to </w:t>
      </w:r>
      <w:r w:rsidRPr="00AE25FE">
        <w:rPr>
          <w:rFonts w:ascii="Garamond" w:hAnsi="Garamond"/>
        </w:rPr>
        <w:t>the four-attribute model, define four measures as</w:t>
      </w:r>
    </w:p>
    <w:p w:rsidR="00170A71" w:rsidRPr="00AE25FE" w:rsidRDefault="00170A71" w:rsidP="00170A71">
      <w:pPr>
        <w:rPr>
          <w:rFonts w:ascii="Garamond" w:hAnsi="Garamond"/>
        </w:rPr>
      </w:pPr>
    </w:p>
    <w:p w:rsidR="00170A71" w:rsidRPr="00AE25FE" w:rsidRDefault="00995CA7" w:rsidP="00170A71">
      <w:pPr>
        <w:rPr>
          <w:rFonts w:ascii="Garamond" w:hAnsi="Garamond"/>
        </w:rPr>
      </w:pPr>
      <w:r w:rsidRPr="00AE25FE">
        <w:rPr>
          <w:rFonts w:ascii="Garamond" w:hAnsi="Garamond"/>
          <w:position w:val="-66"/>
        </w:rPr>
        <w:object w:dxaOrig="6600" w:dyaOrig="1440">
          <v:shape id="_x0000_i1031" type="#_x0000_t75" style="width:330pt;height:1in" o:ole="">
            <v:imagedata r:id="rId31" o:title=""/>
          </v:shape>
          <o:OLEObject Type="Embed" ProgID="Equation.DSMT4" ShapeID="_x0000_i1031" DrawAspect="Content" ObjectID="_1408696115" r:id="rId32"/>
        </w:object>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rPr>
        <w:t>The end points are the maximum implementation for an attribute</w:t>
      </w:r>
      <w:r w:rsidR="00995CA7" w:rsidRPr="00AE25FE">
        <w:rPr>
          <w:rFonts w:ascii="Garamond" w:hAnsi="Garamond"/>
        </w:rPr>
        <w:t xml:space="preserve">.  Imagine that each </w:t>
      </w:r>
      <w:proofErr w:type="gramStart"/>
      <w:r w:rsidR="00995CA7" w:rsidRPr="00AE25FE">
        <w:rPr>
          <w:rFonts w:ascii="Garamond" w:hAnsi="Garamond"/>
        </w:rPr>
        <w:t>axes</w:t>
      </w:r>
      <w:proofErr w:type="gramEnd"/>
      <w:r w:rsidR="00995CA7" w:rsidRPr="00AE25FE">
        <w:rPr>
          <w:rFonts w:ascii="Garamond" w:hAnsi="Garamond"/>
        </w:rPr>
        <w:t xml:space="preserve"> may be represented by some index, therefore the maximum across all attributes (indexed by </w:t>
      </w:r>
      <w:proofErr w:type="spellStart"/>
      <w:r w:rsidR="00995CA7" w:rsidRPr="00AE25FE">
        <w:rPr>
          <w:rFonts w:ascii="Garamond" w:hAnsi="Garamond"/>
        </w:rPr>
        <w:t>i</w:t>
      </w:r>
      <w:proofErr w:type="spellEnd"/>
      <w:r w:rsidR="00995CA7" w:rsidRPr="00AE25FE">
        <w:rPr>
          <w:rFonts w:ascii="Garamond" w:hAnsi="Garamond"/>
        </w:rPr>
        <w:t>)</w:t>
      </w:r>
      <w:r w:rsidR="0036112D" w:rsidRPr="00AE25FE">
        <w:rPr>
          <w:rFonts w:ascii="Garamond" w:hAnsi="Garamond"/>
        </w:rPr>
        <w:t>.</w:t>
      </w:r>
      <w:r w:rsidR="00995CA7" w:rsidRPr="00AE25FE">
        <w:rPr>
          <w:rFonts w:ascii="Garamond" w:hAnsi="Garamond"/>
        </w:rPr>
        <w:t xml:space="preserve"> </w:t>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position w:val="-28"/>
        </w:rPr>
        <w:object w:dxaOrig="1540" w:dyaOrig="540">
          <v:shape id="_x0000_i1032" type="#_x0000_t75" style="width:76.5pt;height:27pt" o:ole="">
            <v:imagedata r:id="rId33" o:title=""/>
          </v:shape>
          <o:OLEObject Type="Embed" ProgID="Equation.DSMT4" ShapeID="_x0000_i1032" DrawAspect="Content" ObjectID="_1408696116" r:id="rId34"/>
        </w:object>
      </w:r>
      <w:r w:rsidRPr="00AE25FE">
        <w:rPr>
          <w:rFonts w:ascii="Garamond" w:hAnsi="Garamond"/>
        </w:rPr>
        <w:tab/>
      </w:r>
      <w:r w:rsidRPr="00AE25FE">
        <w:rPr>
          <w:rFonts w:ascii="Garamond" w:hAnsi="Garamond"/>
        </w:rPr>
        <w:tab/>
      </w:r>
      <w:r w:rsidRPr="00AE25FE">
        <w:rPr>
          <w:rFonts w:ascii="Garamond" w:hAnsi="Garamond"/>
        </w:rPr>
        <w:tab/>
      </w:r>
      <w:r w:rsidRPr="00AE25FE">
        <w:rPr>
          <w:rFonts w:ascii="Garamond" w:hAnsi="Garamond"/>
        </w:rPr>
        <w:tab/>
      </w:r>
      <w:r w:rsidRPr="00AE25FE">
        <w:rPr>
          <w:rFonts w:ascii="Garamond" w:hAnsi="Garamond"/>
        </w:rPr>
        <w:tab/>
        <w:t>(</w:t>
      </w:r>
      <w:r w:rsidR="00995CA7" w:rsidRPr="00AE25FE">
        <w:rPr>
          <w:rFonts w:ascii="Garamond" w:hAnsi="Garamond"/>
        </w:rPr>
        <w:t>1</w:t>
      </w:r>
      <w:r w:rsidRPr="00AE25FE">
        <w:rPr>
          <w:rFonts w:ascii="Garamond" w:hAnsi="Garamond"/>
        </w:rPr>
        <w:t>)</w:t>
      </w:r>
    </w:p>
    <w:p w:rsidR="00170A71" w:rsidRPr="00AE25FE" w:rsidRDefault="00170A71" w:rsidP="00170A71">
      <w:pPr>
        <w:rPr>
          <w:rFonts w:ascii="Garamond" w:hAnsi="Garamond"/>
        </w:rPr>
      </w:pPr>
      <w:r w:rsidRPr="00AE25FE">
        <w:rPr>
          <w:rFonts w:ascii="Garamond" w:hAnsi="Garamond"/>
        </w:rPr>
        <w:t>The implement</w:t>
      </w:r>
      <w:r w:rsidR="00995CA7" w:rsidRPr="00AE25FE">
        <w:rPr>
          <w:rFonts w:ascii="Garamond" w:hAnsi="Garamond"/>
        </w:rPr>
        <w:t xml:space="preserve">ed level </w:t>
      </w:r>
      <w:r w:rsidRPr="00AE25FE">
        <w:rPr>
          <w:rFonts w:ascii="Garamond" w:hAnsi="Garamond"/>
        </w:rPr>
        <w:t>any given EMR “j” appears as:</w:t>
      </w:r>
    </w:p>
    <w:p w:rsidR="00170A71" w:rsidRPr="00AE25FE" w:rsidRDefault="00170A71" w:rsidP="00170A71">
      <w:pPr>
        <w:rPr>
          <w:rFonts w:ascii="Garamond" w:hAnsi="Garamond"/>
        </w:rPr>
      </w:pPr>
    </w:p>
    <w:p w:rsidR="00170A71" w:rsidRPr="00AE25FE" w:rsidRDefault="00995CA7" w:rsidP="00170A71">
      <w:pPr>
        <w:rPr>
          <w:rFonts w:ascii="Garamond" w:hAnsi="Garamond"/>
        </w:rPr>
      </w:pPr>
      <w:r w:rsidRPr="00AE25FE">
        <w:rPr>
          <w:rFonts w:ascii="Garamond" w:hAnsi="Garamond"/>
          <w:position w:val="-28"/>
        </w:rPr>
        <w:object w:dxaOrig="1260" w:dyaOrig="540">
          <v:shape id="_x0000_i1033" type="#_x0000_t75" style="width:63pt;height:27pt" o:ole="">
            <v:imagedata r:id="rId35" o:title=""/>
          </v:shape>
          <o:OLEObject Type="Embed" ProgID="Equation.DSMT4" ShapeID="_x0000_i1033" DrawAspect="Content" ObjectID="_1408696117" r:id="rId36"/>
        </w:object>
      </w:r>
      <w:r w:rsidR="00170A71" w:rsidRPr="00AE25FE">
        <w:rPr>
          <w:rFonts w:ascii="Garamond" w:hAnsi="Garamond"/>
        </w:rPr>
        <w:tab/>
      </w:r>
      <w:r w:rsidR="00170A71" w:rsidRPr="00AE25FE">
        <w:rPr>
          <w:rFonts w:ascii="Garamond" w:hAnsi="Garamond"/>
        </w:rPr>
        <w:tab/>
      </w:r>
      <w:r w:rsidR="00170A71" w:rsidRPr="00AE25FE">
        <w:rPr>
          <w:rFonts w:ascii="Garamond" w:hAnsi="Garamond"/>
        </w:rPr>
        <w:tab/>
      </w:r>
      <w:r w:rsidR="00170A71" w:rsidRPr="00AE25FE">
        <w:rPr>
          <w:rFonts w:ascii="Garamond" w:hAnsi="Garamond"/>
        </w:rPr>
        <w:tab/>
      </w:r>
      <w:r w:rsidR="00170A71" w:rsidRPr="00AE25FE">
        <w:rPr>
          <w:rFonts w:ascii="Garamond" w:hAnsi="Garamond"/>
        </w:rPr>
        <w:tab/>
      </w:r>
      <w:r w:rsidRPr="00AE25FE">
        <w:rPr>
          <w:rFonts w:ascii="Garamond" w:hAnsi="Garamond"/>
        </w:rPr>
        <w:tab/>
      </w:r>
      <w:r w:rsidR="00170A71" w:rsidRPr="00AE25FE">
        <w:rPr>
          <w:rFonts w:ascii="Garamond" w:hAnsi="Garamond"/>
        </w:rPr>
        <w:t>(</w:t>
      </w:r>
      <w:r w:rsidRPr="00AE25FE">
        <w:rPr>
          <w:rFonts w:ascii="Garamond" w:hAnsi="Garamond"/>
        </w:rPr>
        <w:t>2</w:t>
      </w:r>
      <w:r w:rsidR="00170A71" w:rsidRPr="00AE25FE">
        <w:rPr>
          <w:rFonts w:ascii="Garamond" w:hAnsi="Garamond"/>
        </w:rPr>
        <w:t>)</w:t>
      </w:r>
    </w:p>
    <w:p w:rsidR="00170A71" w:rsidRPr="00AE25FE" w:rsidRDefault="00170A71" w:rsidP="00170A71">
      <w:pPr>
        <w:rPr>
          <w:rFonts w:ascii="Garamond" w:hAnsi="Garamond"/>
        </w:rPr>
      </w:pPr>
      <w:r w:rsidRPr="00AE25FE">
        <w:rPr>
          <w:rFonts w:ascii="Garamond" w:hAnsi="Garamond"/>
        </w:rPr>
        <w:t>Across all j EMR installations, actual implementation, EMR’</w:t>
      </w:r>
      <w:r w:rsidR="0036112D" w:rsidRPr="00AE25FE">
        <w:rPr>
          <w:rFonts w:ascii="Garamond" w:hAnsi="Garamond"/>
        </w:rPr>
        <w:t xml:space="preserve"> </w:t>
      </w:r>
      <w:r w:rsidRPr="00AE25FE">
        <w:rPr>
          <w:rFonts w:ascii="Garamond" w:hAnsi="Garamond"/>
        </w:rPr>
        <w:t>appears as:</w:t>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position w:val="-30"/>
        </w:rPr>
        <w:object w:dxaOrig="1820" w:dyaOrig="560">
          <v:shape id="_x0000_i1034" type="#_x0000_t75" style="width:90.75pt;height:27.75pt" o:ole="">
            <v:imagedata r:id="rId37" o:title=""/>
          </v:shape>
          <o:OLEObject Type="Embed" ProgID="Equation.DSMT4" ShapeID="_x0000_i1034" DrawAspect="Content" ObjectID="_1408696118" r:id="rId38"/>
        </w:object>
      </w:r>
      <w:r w:rsidRPr="00AE25FE">
        <w:rPr>
          <w:rFonts w:ascii="Garamond" w:hAnsi="Garamond"/>
        </w:rPr>
        <w:tab/>
      </w:r>
      <w:r w:rsidRPr="00AE25FE">
        <w:rPr>
          <w:rFonts w:ascii="Garamond" w:hAnsi="Garamond"/>
        </w:rPr>
        <w:tab/>
      </w:r>
      <w:r w:rsidRPr="00AE25FE">
        <w:rPr>
          <w:rFonts w:ascii="Garamond" w:hAnsi="Garamond"/>
        </w:rPr>
        <w:tab/>
      </w:r>
      <w:r w:rsidRPr="00AE25FE">
        <w:rPr>
          <w:rFonts w:ascii="Garamond" w:hAnsi="Garamond"/>
        </w:rPr>
        <w:tab/>
      </w:r>
      <w:r w:rsidRPr="00AE25FE">
        <w:rPr>
          <w:rFonts w:ascii="Garamond" w:hAnsi="Garamond"/>
        </w:rPr>
        <w:tab/>
        <w:t>(3)</w:t>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rPr>
        <w:t>With the maximum potential appearing as</w:t>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position w:val="-30"/>
        </w:rPr>
        <w:object w:dxaOrig="1980" w:dyaOrig="560">
          <v:shape id="_x0000_i1035" type="#_x0000_t75" style="width:99pt;height:27.75pt" o:ole="">
            <v:imagedata r:id="rId39" o:title=""/>
          </v:shape>
          <o:OLEObject Type="Embed" ProgID="Equation.DSMT4" ShapeID="_x0000_i1035" DrawAspect="Content" ObjectID="_1408696119" r:id="rId40"/>
        </w:object>
      </w:r>
      <w:r w:rsidRPr="00AE25FE">
        <w:rPr>
          <w:rFonts w:ascii="Garamond" w:hAnsi="Garamond"/>
        </w:rPr>
        <w:tab/>
      </w:r>
      <w:r w:rsidRPr="00AE25FE">
        <w:rPr>
          <w:rFonts w:ascii="Garamond" w:hAnsi="Garamond"/>
        </w:rPr>
        <w:tab/>
      </w:r>
      <w:r w:rsidRPr="00AE25FE">
        <w:rPr>
          <w:rFonts w:ascii="Garamond" w:hAnsi="Garamond"/>
        </w:rPr>
        <w:tab/>
      </w:r>
      <w:r w:rsidRPr="00AE25FE">
        <w:rPr>
          <w:rFonts w:ascii="Garamond" w:hAnsi="Garamond"/>
        </w:rPr>
        <w:tab/>
      </w:r>
      <w:r w:rsidRPr="00AE25FE">
        <w:rPr>
          <w:rFonts w:ascii="Garamond" w:hAnsi="Garamond"/>
        </w:rPr>
        <w:tab/>
        <w:t>(4)</w:t>
      </w:r>
      <w:r w:rsidRPr="00AE25FE">
        <w:rPr>
          <w:rFonts w:ascii="Garamond" w:hAnsi="Garamond"/>
        </w:rPr>
        <w:tab/>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rPr>
        <w:t>Finally, the extent of implementation across a set of j EMR installations</w:t>
      </w:r>
      <w:r w:rsidR="0036112D" w:rsidRPr="00AE25FE">
        <w:rPr>
          <w:rFonts w:ascii="Garamond" w:hAnsi="Garamond"/>
        </w:rPr>
        <w:t>,</w:t>
      </w:r>
      <w:r w:rsidRPr="00AE25FE">
        <w:rPr>
          <w:rFonts w:ascii="Garamond" w:hAnsi="Garamond"/>
        </w:rPr>
        <w:t xml:space="preserve"> that is</w:t>
      </w:r>
      <w:r w:rsidR="0036112D" w:rsidRPr="00AE25FE">
        <w:rPr>
          <w:rFonts w:ascii="Garamond" w:hAnsi="Garamond"/>
        </w:rPr>
        <w:t>,</w:t>
      </w:r>
      <w:r w:rsidRPr="00AE25FE">
        <w:rPr>
          <w:rFonts w:ascii="Garamond" w:hAnsi="Garamond"/>
        </w:rPr>
        <w:t xml:space="preserve"> the “maturity of the system” appears as:</w:t>
      </w:r>
    </w:p>
    <w:p w:rsidR="00170A71" w:rsidRPr="00AE25FE" w:rsidRDefault="00170A71" w:rsidP="00170A71">
      <w:pPr>
        <w:rPr>
          <w:rFonts w:ascii="Garamond" w:hAnsi="Garamond"/>
        </w:rPr>
      </w:pPr>
    </w:p>
    <w:p w:rsidR="00170A71" w:rsidRPr="00AE25FE" w:rsidRDefault="00170A71" w:rsidP="00995CA7">
      <w:pPr>
        <w:rPr>
          <w:rFonts w:ascii="Garamond" w:hAnsi="Garamond"/>
        </w:rPr>
      </w:pPr>
      <w:r w:rsidRPr="00AE25FE">
        <w:rPr>
          <w:rFonts w:ascii="Garamond" w:hAnsi="Garamond"/>
          <w:position w:val="-30"/>
        </w:rPr>
        <w:object w:dxaOrig="3840" w:dyaOrig="560">
          <v:shape id="_x0000_i1036" type="#_x0000_t75" style="width:192.75pt;height:27.75pt" o:ole="">
            <v:imagedata r:id="rId41" o:title=""/>
          </v:shape>
          <o:OLEObject Type="Embed" ProgID="Equation.DSMT4" ShapeID="_x0000_i1036" DrawAspect="Content" ObjectID="_1408696120" r:id="rId42"/>
        </w:object>
      </w:r>
      <w:r w:rsidRPr="00AE25FE">
        <w:rPr>
          <w:rFonts w:ascii="Garamond" w:hAnsi="Garamond"/>
        </w:rPr>
        <w:tab/>
      </w:r>
      <w:r w:rsidRPr="00AE25FE">
        <w:rPr>
          <w:rFonts w:ascii="Garamond" w:hAnsi="Garamond"/>
        </w:rPr>
        <w:tab/>
        <w:t>(5)</w:t>
      </w:r>
    </w:p>
    <w:p w:rsidR="00170A71" w:rsidRPr="00AE25FE" w:rsidRDefault="00170A71" w:rsidP="00170A71">
      <w:pPr>
        <w:rPr>
          <w:rFonts w:ascii="Garamond" w:hAnsi="Garamond"/>
        </w:rPr>
      </w:pPr>
    </w:p>
    <w:p w:rsidR="00170A71" w:rsidRPr="00AE25FE" w:rsidRDefault="00170A71" w:rsidP="00170A71">
      <w:pPr>
        <w:rPr>
          <w:rFonts w:ascii="Garamond" w:hAnsi="Garamond"/>
        </w:rPr>
      </w:pPr>
      <w:r w:rsidRPr="00AE25FE">
        <w:rPr>
          <w:rFonts w:ascii="Garamond" w:hAnsi="Garamond"/>
        </w:rPr>
        <w:t>The simplest metric for EMR maturity at any provider site (node) may be the percentage of information that is collected, stored, and potentially exchangeable using electronic methods referenced to some norm (the regulated, average, or maximum values)</w:t>
      </w:r>
    </w:p>
    <w:p w:rsidR="00170A71" w:rsidRPr="00AE25FE" w:rsidRDefault="00170A71" w:rsidP="00170A71">
      <w:pPr>
        <w:rPr>
          <w:rFonts w:ascii="Garamond" w:hAnsi="Garamond"/>
        </w:rPr>
      </w:pPr>
    </w:p>
    <w:p w:rsidR="00170A71" w:rsidRPr="00AE25FE" w:rsidRDefault="00170A71" w:rsidP="006F62A7">
      <w:pPr>
        <w:rPr>
          <w:rFonts w:ascii="Garamond" w:hAnsi="Garamond"/>
        </w:rPr>
      </w:pPr>
      <w:r w:rsidRPr="00AE25FE">
        <w:rPr>
          <w:rFonts w:ascii="Garamond" w:hAnsi="Garamond"/>
          <w:position w:val="-32"/>
        </w:rPr>
        <w:object w:dxaOrig="1700" w:dyaOrig="580">
          <v:shape id="_x0000_i1037" type="#_x0000_t75" style="width:84.75pt;height:29.25pt" o:ole="">
            <v:imagedata r:id="rId43" o:title=""/>
          </v:shape>
          <o:OLEObject Type="Embed" ProgID="Equation.DSMT4" ShapeID="_x0000_i1037" DrawAspect="Content" ObjectID="_1408696121" r:id="rId44"/>
        </w:object>
      </w:r>
      <w:r w:rsidRPr="00AE25FE">
        <w:rPr>
          <w:rFonts w:ascii="Garamond" w:hAnsi="Garamond"/>
        </w:rPr>
        <w:t xml:space="preserve">,   </w:t>
      </w:r>
      <w:r w:rsidRPr="00AE25FE">
        <w:rPr>
          <w:rFonts w:ascii="Garamond" w:hAnsi="Garamond"/>
        </w:rPr>
        <w:tab/>
      </w:r>
      <w:r w:rsidRPr="00AE25FE">
        <w:rPr>
          <w:rFonts w:ascii="Garamond" w:hAnsi="Garamond"/>
        </w:rPr>
        <w:tab/>
      </w:r>
      <w:r w:rsidRPr="00AE25FE">
        <w:rPr>
          <w:rFonts w:ascii="Garamond" w:hAnsi="Garamond"/>
        </w:rPr>
        <w:tab/>
      </w:r>
      <w:r w:rsidR="006F62A7" w:rsidRPr="00AE25FE">
        <w:rPr>
          <w:rFonts w:ascii="Garamond" w:hAnsi="Garamond"/>
        </w:rPr>
        <w:tab/>
      </w:r>
      <w:r w:rsidRPr="00AE25FE">
        <w:rPr>
          <w:rFonts w:ascii="Garamond" w:hAnsi="Garamond"/>
        </w:rPr>
        <w:tab/>
        <w:t>(6a)</w:t>
      </w:r>
    </w:p>
    <w:p w:rsidR="006F62A7" w:rsidRPr="00AE25FE" w:rsidRDefault="00170A71" w:rsidP="006F62A7">
      <w:pPr>
        <w:rPr>
          <w:rFonts w:ascii="Garamond" w:hAnsi="Garamond"/>
        </w:rPr>
      </w:pPr>
      <w:proofErr w:type="gramStart"/>
      <w:r w:rsidRPr="00AE25FE">
        <w:rPr>
          <w:rFonts w:ascii="Garamond" w:hAnsi="Garamond"/>
        </w:rPr>
        <w:t>which</w:t>
      </w:r>
      <w:proofErr w:type="gramEnd"/>
      <w:r w:rsidRPr="00AE25FE">
        <w:rPr>
          <w:rFonts w:ascii="Garamond" w:hAnsi="Garamond"/>
        </w:rPr>
        <w:t xml:space="preserve"> is maximum level of information flows for Attribute </w:t>
      </w:r>
      <w:proofErr w:type="spellStart"/>
      <w:r w:rsidRPr="00AE25FE">
        <w:rPr>
          <w:rFonts w:ascii="Garamond" w:hAnsi="Garamond"/>
        </w:rPr>
        <w:t>i</w:t>
      </w:r>
      <w:proofErr w:type="spellEnd"/>
      <w:r w:rsidRPr="00AE25FE">
        <w:rPr>
          <w:rFonts w:ascii="Garamond" w:hAnsi="Garamond"/>
        </w:rPr>
        <w:t xml:space="preserve"> relative to the norm for </w:t>
      </w:r>
      <w:proofErr w:type="spellStart"/>
      <w:r w:rsidRPr="00AE25FE">
        <w:rPr>
          <w:rFonts w:ascii="Garamond" w:hAnsi="Garamond"/>
        </w:rPr>
        <w:t>i</w:t>
      </w:r>
      <w:proofErr w:type="spellEnd"/>
      <w:r w:rsidRPr="00AE25FE">
        <w:rPr>
          <w:rFonts w:ascii="Garamond" w:hAnsi="Garamond"/>
        </w:rPr>
        <w:t xml:space="preserve"> across all j provider nodes. </w:t>
      </w:r>
    </w:p>
    <w:p w:rsidR="006F62A7" w:rsidRPr="00AE25FE" w:rsidRDefault="006F62A7" w:rsidP="006F62A7">
      <w:pPr>
        <w:rPr>
          <w:rFonts w:ascii="Garamond" w:hAnsi="Garamond"/>
        </w:rPr>
      </w:pPr>
    </w:p>
    <w:p w:rsidR="00170A71" w:rsidRPr="00AE25FE" w:rsidRDefault="00170A71" w:rsidP="006F62A7">
      <w:pPr>
        <w:rPr>
          <w:rFonts w:ascii="Garamond" w:hAnsi="Garamond"/>
        </w:rPr>
      </w:pPr>
      <w:r w:rsidRPr="00AE25FE">
        <w:rPr>
          <w:rFonts w:ascii="Garamond" w:hAnsi="Garamond"/>
        </w:rPr>
        <w:lastRenderedPageBreak/>
        <w:t xml:space="preserve"> </w:t>
      </w:r>
      <w:r w:rsidRPr="00AE25FE">
        <w:rPr>
          <w:rFonts w:ascii="Garamond" w:hAnsi="Garamond"/>
          <w:position w:val="-32"/>
        </w:rPr>
        <w:object w:dxaOrig="1700" w:dyaOrig="580">
          <v:shape id="_x0000_i1038" type="#_x0000_t75" style="width:84.75pt;height:29.25pt" o:ole="">
            <v:imagedata r:id="rId45" o:title=""/>
          </v:shape>
          <o:OLEObject Type="Embed" ProgID="Equation.DSMT4" ShapeID="_x0000_i1038" DrawAspect="Content" ObjectID="_1408696122" r:id="rId46"/>
        </w:object>
      </w:r>
      <w:r w:rsidRPr="00AE25FE">
        <w:rPr>
          <w:rFonts w:ascii="Garamond" w:hAnsi="Garamond"/>
        </w:rPr>
        <w:t>,</w:t>
      </w:r>
      <w:r w:rsidRPr="00AE25FE">
        <w:rPr>
          <w:rFonts w:ascii="Garamond" w:hAnsi="Garamond"/>
        </w:rPr>
        <w:tab/>
      </w:r>
      <w:r w:rsidRPr="00AE25FE">
        <w:rPr>
          <w:rFonts w:ascii="Garamond" w:hAnsi="Garamond"/>
        </w:rPr>
        <w:tab/>
      </w:r>
      <w:r w:rsidRPr="00AE25FE">
        <w:rPr>
          <w:rFonts w:ascii="Garamond" w:hAnsi="Garamond"/>
        </w:rPr>
        <w:tab/>
      </w:r>
      <w:r w:rsidR="006F62A7" w:rsidRPr="00AE25FE">
        <w:rPr>
          <w:rFonts w:ascii="Garamond" w:hAnsi="Garamond"/>
        </w:rPr>
        <w:tab/>
      </w:r>
      <w:r w:rsidRPr="00AE25FE">
        <w:rPr>
          <w:rFonts w:ascii="Garamond" w:hAnsi="Garamond"/>
        </w:rPr>
        <w:tab/>
        <w:t>(6b)</w:t>
      </w:r>
    </w:p>
    <w:p w:rsidR="00170A71" w:rsidRPr="00AE25FE" w:rsidRDefault="00170A71" w:rsidP="00170A71">
      <w:pPr>
        <w:rPr>
          <w:rFonts w:ascii="Garamond" w:hAnsi="Garamond"/>
        </w:rPr>
      </w:pPr>
      <w:proofErr w:type="gramStart"/>
      <w:r w:rsidRPr="00AE25FE">
        <w:rPr>
          <w:rFonts w:ascii="Garamond" w:hAnsi="Garamond"/>
        </w:rPr>
        <w:t>which</w:t>
      </w:r>
      <w:proofErr w:type="gramEnd"/>
      <w:r w:rsidRPr="00AE25FE">
        <w:rPr>
          <w:rFonts w:ascii="Garamond" w:hAnsi="Garamond"/>
        </w:rPr>
        <w:t xml:space="preserve"> is average level of information flows for Attribute </w:t>
      </w:r>
      <w:proofErr w:type="spellStart"/>
      <w:r w:rsidRPr="00AE25FE">
        <w:rPr>
          <w:rFonts w:ascii="Garamond" w:hAnsi="Garamond"/>
        </w:rPr>
        <w:t>i</w:t>
      </w:r>
      <w:proofErr w:type="spellEnd"/>
      <w:r w:rsidRPr="00AE25FE">
        <w:rPr>
          <w:rFonts w:ascii="Garamond" w:hAnsi="Garamond"/>
        </w:rPr>
        <w:t xml:space="preserve"> relative to the norm for </w:t>
      </w:r>
      <w:proofErr w:type="spellStart"/>
      <w:r w:rsidRPr="00AE25FE">
        <w:rPr>
          <w:rFonts w:ascii="Garamond" w:hAnsi="Garamond"/>
        </w:rPr>
        <w:t>i</w:t>
      </w:r>
      <w:proofErr w:type="spellEnd"/>
      <w:r w:rsidRPr="00AE25FE">
        <w:rPr>
          <w:rFonts w:ascii="Garamond" w:hAnsi="Garamond"/>
        </w:rPr>
        <w:t xml:space="preserve"> across all j provider nodes. </w:t>
      </w:r>
    </w:p>
    <w:p w:rsidR="006F62A7" w:rsidRPr="00AE25FE" w:rsidRDefault="006F62A7" w:rsidP="00170A71">
      <w:pPr>
        <w:rPr>
          <w:rFonts w:ascii="Garamond" w:hAnsi="Garamond"/>
        </w:rPr>
      </w:pPr>
    </w:p>
    <w:p w:rsidR="00170A71" w:rsidRPr="00AE25FE" w:rsidRDefault="00170A71" w:rsidP="006F62A7">
      <w:pPr>
        <w:rPr>
          <w:rFonts w:ascii="Garamond" w:hAnsi="Garamond"/>
        </w:rPr>
      </w:pPr>
      <w:r w:rsidRPr="00AE25FE">
        <w:rPr>
          <w:rFonts w:ascii="Garamond" w:hAnsi="Garamond"/>
          <w:position w:val="-32"/>
        </w:rPr>
        <w:object w:dxaOrig="1700" w:dyaOrig="600">
          <v:shape id="_x0000_i1039" type="#_x0000_t75" style="width:84.75pt;height:30pt" o:ole="">
            <v:imagedata r:id="rId47" o:title=""/>
          </v:shape>
          <o:OLEObject Type="Embed" ProgID="Equation.DSMT4" ShapeID="_x0000_i1039" DrawAspect="Content" ObjectID="_1408696123" r:id="rId48"/>
        </w:object>
      </w:r>
      <w:r w:rsidRPr="00AE25FE">
        <w:rPr>
          <w:rFonts w:ascii="Garamond" w:hAnsi="Garamond"/>
        </w:rPr>
        <w:t>,</w:t>
      </w:r>
      <w:r w:rsidRPr="00AE25FE">
        <w:rPr>
          <w:rFonts w:ascii="Garamond" w:hAnsi="Garamond"/>
        </w:rPr>
        <w:tab/>
      </w:r>
      <w:r w:rsidRPr="00AE25FE">
        <w:rPr>
          <w:rFonts w:ascii="Garamond" w:hAnsi="Garamond"/>
        </w:rPr>
        <w:tab/>
      </w:r>
      <w:r w:rsidR="006F62A7" w:rsidRPr="00AE25FE">
        <w:rPr>
          <w:rFonts w:ascii="Garamond" w:hAnsi="Garamond"/>
        </w:rPr>
        <w:tab/>
      </w:r>
      <w:r w:rsidRPr="00AE25FE">
        <w:rPr>
          <w:rFonts w:ascii="Garamond" w:hAnsi="Garamond"/>
        </w:rPr>
        <w:tab/>
      </w:r>
      <w:r w:rsidRPr="00AE25FE">
        <w:rPr>
          <w:rFonts w:ascii="Garamond" w:hAnsi="Garamond"/>
        </w:rPr>
        <w:tab/>
        <w:t>(6c)</w:t>
      </w:r>
    </w:p>
    <w:p w:rsidR="00170A71" w:rsidRPr="00AE25FE" w:rsidRDefault="00170A71" w:rsidP="00170A71">
      <w:pPr>
        <w:rPr>
          <w:rFonts w:ascii="Garamond" w:hAnsi="Garamond"/>
        </w:rPr>
      </w:pPr>
      <w:proofErr w:type="gramStart"/>
      <w:r w:rsidRPr="00AE25FE">
        <w:rPr>
          <w:rFonts w:ascii="Garamond" w:hAnsi="Garamond"/>
        </w:rPr>
        <w:t>which</w:t>
      </w:r>
      <w:proofErr w:type="gramEnd"/>
      <w:r w:rsidRPr="00AE25FE">
        <w:rPr>
          <w:rFonts w:ascii="Garamond" w:hAnsi="Garamond"/>
        </w:rPr>
        <w:t xml:space="preserve"> is actual level of information flows for Attribute </w:t>
      </w:r>
      <w:proofErr w:type="spellStart"/>
      <w:r w:rsidRPr="00AE25FE">
        <w:rPr>
          <w:rFonts w:ascii="Garamond" w:hAnsi="Garamond"/>
        </w:rPr>
        <w:t>i</w:t>
      </w:r>
      <w:proofErr w:type="spellEnd"/>
      <w:r w:rsidRPr="00AE25FE">
        <w:rPr>
          <w:rFonts w:ascii="Garamond" w:hAnsi="Garamond"/>
        </w:rPr>
        <w:t xml:space="preserve"> relative to the norm for </w:t>
      </w:r>
      <w:proofErr w:type="spellStart"/>
      <w:r w:rsidRPr="00AE25FE">
        <w:rPr>
          <w:rFonts w:ascii="Garamond" w:hAnsi="Garamond"/>
        </w:rPr>
        <w:t>i</w:t>
      </w:r>
      <w:proofErr w:type="spellEnd"/>
      <w:r w:rsidRPr="00AE25FE">
        <w:rPr>
          <w:rFonts w:ascii="Garamond" w:hAnsi="Garamond"/>
        </w:rPr>
        <w:t xml:space="preserve"> across all j provider nodes. </w:t>
      </w:r>
    </w:p>
    <w:p w:rsidR="00170A71" w:rsidRPr="00AE25FE" w:rsidRDefault="00170A71">
      <w:pPr>
        <w:spacing w:after="200" w:line="276" w:lineRule="auto"/>
        <w:rPr>
          <w:rStyle w:val="SubtleEmphasis"/>
          <w:rFonts w:ascii="Garamond" w:hAnsi="Garamond"/>
          <w:b/>
          <w:i w:val="0"/>
          <w:iCs w:val="0"/>
          <w:color w:val="auto"/>
        </w:rPr>
      </w:pPr>
    </w:p>
    <w:p w:rsidR="00E12892" w:rsidRDefault="00E12892">
      <w:pPr>
        <w:rPr>
          <w:rFonts w:ascii="Garamond" w:hAnsi="Garamond"/>
          <w:b/>
          <w:bCs/>
          <w:szCs w:val="28"/>
        </w:rPr>
      </w:pPr>
      <w:bookmarkStart w:id="11" w:name="_Toc323718564"/>
      <w:r>
        <w:rPr>
          <w:rFonts w:ascii="Garamond" w:hAnsi="Garamond"/>
        </w:rPr>
        <w:br w:type="page"/>
      </w:r>
    </w:p>
    <w:p w:rsidR="00CC3D1B" w:rsidRPr="00DF4210" w:rsidRDefault="00CC3D1B" w:rsidP="00DF4210">
      <w:pPr>
        <w:pStyle w:val="Heading1"/>
        <w:numPr>
          <w:ilvl w:val="0"/>
          <w:numId w:val="0"/>
        </w:numPr>
        <w:spacing w:after="240"/>
        <w:ind w:left="720" w:hanging="720"/>
        <w:rPr>
          <w:rFonts w:ascii="Garamond" w:hAnsi="Garamond"/>
          <w:sz w:val="28"/>
        </w:rPr>
      </w:pPr>
      <w:r w:rsidRPr="00DF4210">
        <w:rPr>
          <w:rFonts w:ascii="Garamond" w:hAnsi="Garamond"/>
          <w:sz w:val="28"/>
        </w:rPr>
        <w:lastRenderedPageBreak/>
        <w:t>References</w:t>
      </w:r>
      <w:bookmarkEnd w:id="11"/>
    </w:p>
    <w:p w:rsidR="00980CC2" w:rsidRPr="00AE25FE" w:rsidRDefault="00980CC2" w:rsidP="00DF4210">
      <w:pPr>
        <w:autoSpaceDE w:val="0"/>
        <w:autoSpaceDN w:val="0"/>
        <w:adjustRightInd w:val="0"/>
        <w:spacing w:after="240"/>
        <w:ind w:left="720" w:hanging="720"/>
        <w:rPr>
          <w:rFonts w:ascii="Garamond" w:hAnsi="Garamond"/>
        </w:rPr>
      </w:pPr>
      <w:proofErr w:type="spellStart"/>
      <w:r w:rsidRPr="00AE25FE">
        <w:rPr>
          <w:rFonts w:ascii="Garamond" w:hAnsi="Garamond"/>
        </w:rPr>
        <w:t>Atalag</w:t>
      </w:r>
      <w:proofErr w:type="spellEnd"/>
      <w:r w:rsidRPr="00AE25FE">
        <w:rPr>
          <w:rFonts w:ascii="Garamond" w:hAnsi="Garamond"/>
        </w:rPr>
        <w:t xml:space="preserve"> K., Kingsford D., Paton C. , Warren J.L. (2010) Putting Health Record Interoperability Standards to Work,  </w:t>
      </w:r>
      <w:r w:rsidRPr="00AE25FE">
        <w:rPr>
          <w:rFonts w:ascii="Garamond" w:hAnsi="Garamond"/>
          <w:i/>
        </w:rPr>
        <w:t>electronic Journal of Health Informatics</w:t>
      </w:r>
      <w:r w:rsidRPr="00AE25FE">
        <w:rPr>
          <w:rFonts w:ascii="Garamond" w:hAnsi="Garamond"/>
        </w:rPr>
        <w:t xml:space="preserve">  5(1)</w:t>
      </w:r>
    </w:p>
    <w:p w:rsidR="00CC3D1B" w:rsidRPr="00AE25FE" w:rsidRDefault="00CC3D1B" w:rsidP="00DF4210">
      <w:pPr>
        <w:autoSpaceDE w:val="0"/>
        <w:autoSpaceDN w:val="0"/>
        <w:adjustRightInd w:val="0"/>
        <w:spacing w:after="240"/>
        <w:ind w:left="720" w:hanging="720"/>
        <w:rPr>
          <w:rFonts w:ascii="Garamond" w:hAnsi="Garamond"/>
        </w:rPr>
      </w:pPr>
      <w:r w:rsidRPr="00AE25FE">
        <w:rPr>
          <w:rFonts w:ascii="Garamond" w:hAnsi="Garamond"/>
        </w:rPr>
        <w:t xml:space="preserve">Becker, J., </w:t>
      </w:r>
      <w:proofErr w:type="spellStart"/>
      <w:r w:rsidRPr="00AE25FE">
        <w:rPr>
          <w:rFonts w:ascii="Garamond" w:hAnsi="Garamond"/>
        </w:rPr>
        <w:t>Knackstedt</w:t>
      </w:r>
      <w:proofErr w:type="spellEnd"/>
      <w:r w:rsidRPr="00AE25FE">
        <w:rPr>
          <w:rFonts w:ascii="Garamond" w:hAnsi="Garamond"/>
        </w:rPr>
        <w:t xml:space="preserve">, R. and </w:t>
      </w:r>
      <w:proofErr w:type="spellStart"/>
      <w:r w:rsidRPr="00AE25FE">
        <w:rPr>
          <w:rFonts w:ascii="Garamond" w:hAnsi="Garamond"/>
        </w:rPr>
        <w:t>Pöppelbuß</w:t>
      </w:r>
      <w:proofErr w:type="spellEnd"/>
      <w:r w:rsidRPr="00AE25FE">
        <w:rPr>
          <w:rFonts w:ascii="Garamond" w:hAnsi="Garamond"/>
        </w:rPr>
        <w:t xml:space="preserve">, J., (2009) ‘Developing maturity models for IT management – a procedure model and its application’, </w:t>
      </w:r>
      <w:r w:rsidRPr="00AE25FE">
        <w:rPr>
          <w:rFonts w:ascii="Garamond" w:hAnsi="Garamond"/>
          <w:i/>
          <w:iCs/>
        </w:rPr>
        <w:t>Business &amp; Information Systems Engineering</w:t>
      </w:r>
      <w:r w:rsidRPr="00AE25FE">
        <w:rPr>
          <w:rFonts w:ascii="Garamond" w:hAnsi="Garamond"/>
        </w:rPr>
        <w:t>, Vol. 1, No. 3, pp.213–222</w:t>
      </w:r>
    </w:p>
    <w:p w:rsidR="00CC3D1B" w:rsidRPr="00AE25FE" w:rsidRDefault="00CC3D1B" w:rsidP="00DF4210">
      <w:pPr>
        <w:autoSpaceDE w:val="0"/>
        <w:autoSpaceDN w:val="0"/>
        <w:adjustRightInd w:val="0"/>
        <w:spacing w:after="240"/>
        <w:ind w:left="720" w:hanging="720"/>
        <w:rPr>
          <w:rFonts w:ascii="Garamond" w:hAnsi="Garamond"/>
        </w:rPr>
      </w:pPr>
      <w:proofErr w:type="gramStart"/>
      <w:r w:rsidRPr="00AE25FE">
        <w:rPr>
          <w:rFonts w:ascii="Garamond" w:hAnsi="Garamond"/>
        </w:rPr>
        <w:t xml:space="preserve">Earl, M.J. (1989) </w:t>
      </w:r>
      <w:r w:rsidRPr="00AE25FE">
        <w:rPr>
          <w:rFonts w:ascii="Garamond" w:hAnsi="Garamond"/>
          <w:i/>
          <w:iCs/>
        </w:rPr>
        <w:t>Management Strategies for Information Technologies</w:t>
      </w:r>
      <w:r w:rsidRPr="00AE25FE">
        <w:rPr>
          <w:rFonts w:ascii="Garamond" w:hAnsi="Garamond"/>
        </w:rPr>
        <w:t>, Prentice Hall, New Jersey.</w:t>
      </w:r>
      <w:proofErr w:type="gramEnd"/>
      <w:r w:rsidRPr="00AE25FE">
        <w:rPr>
          <w:rFonts w:ascii="Garamond" w:hAnsi="Garamond"/>
        </w:rPr>
        <w:t xml:space="preserve"> </w:t>
      </w:r>
    </w:p>
    <w:p w:rsidR="00CC3D1B" w:rsidRPr="00AE25FE" w:rsidRDefault="00CC3D1B" w:rsidP="00DF4210">
      <w:pPr>
        <w:autoSpaceDE w:val="0"/>
        <w:autoSpaceDN w:val="0"/>
        <w:adjustRightInd w:val="0"/>
        <w:spacing w:after="240"/>
        <w:ind w:left="720" w:hanging="720"/>
        <w:rPr>
          <w:rFonts w:ascii="Garamond" w:hAnsi="Garamond"/>
        </w:rPr>
      </w:pPr>
      <w:proofErr w:type="spellStart"/>
      <w:r w:rsidRPr="00AE25FE">
        <w:rPr>
          <w:rFonts w:ascii="Garamond" w:hAnsi="Garamond"/>
        </w:rPr>
        <w:t>Filterrer</w:t>
      </w:r>
      <w:proofErr w:type="spellEnd"/>
      <w:r w:rsidRPr="00AE25FE">
        <w:rPr>
          <w:rFonts w:ascii="Garamond" w:hAnsi="Garamond"/>
        </w:rPr>
        <w:t xml:space="preserve">, R. and </w:t>
      </w:r>
      <w:proofErr w:type="spellStart"/>
      <w:r w:rsidRPr="00AE25FE">
        <w:rPr>
          <w:rFonts w:ascii="Garamond" w:hAnsi="Garamond"/>
        </w:rPr>
        <w:t>Rohner</w:t>
      </w:r>
      <w:proofErr w:type="spellEnd"/>
      <w:r w:rsidRPr="00AE25FE">
        <w:rPr>
          <w:rFonts w:ascii="Garamond" w:hAnsi="Garamond"/>
        </w:rPr>
        <w:t>, P., (2010) ‘</w:t>
      </w:r>
      <w:proofErr w:type="gramStart"/>
      <w:r w:rsidRPr="00AE25FE">
        <w:rPr>
          <w:rFonts w:ascii="Garamond" w:hAnsi="Garamond"/>
        </w:rPr>
        <w:t>Towards</w:t>
      </w:r>
      <w:proofErr w:type="gramEnd"/>
      <w:r w:rsidRPr="00AE25FE">
        <w:rPr>
          <w:rFonts w:ascii="Garamond" w:hAnsi="Garamond"/>
        </w:rPr>
        <w:t xml:space="preserve"> assessing the networkability of healthcare providers: a maturity model approach’, </w:t>
      </w:r>
      <w:r w:rsidRPr="00AE25FE">
        <w:rPr>
          <w:rFonts w:ascii="Garamond" w:hAnsi="Garamond"/>
          <w:i/>
          <w:iCs/>
        </w:rPr>
        <w:t>Information Systems and E-Business Management</w:t>
      </w:r>
      <w:r w:rsidRPr="00AE25FE">
        <w:rPr>
          <w:rFonts w:ascii="Garamond" w:hAnsi="Garamond"/>
        </w:rPr>
        <w:t>, Vol. 8, No. 3, pp.309–333.</w:t>
      </w:r>
    </w:p>
    <w:p w:rsidR="00CC3D1B" w:rsidRPr="00AE25FE" w:rsidRDefault="00CC3D1B" w:rsidP="00DF4210">
      <w:pPr>
        <w:autoSpaceDE w:val="0"/>
        <w:autoSpaceDN w:val="0"/>
        <w:adjustRightInd w:val="0"/>
        <w:spacing w:after="240"/>
        <w:ind w:left="720" w:hanging="720"/>
        <w:rPr>
          <w:rFonts w:ascii="Garamond" w:hAnsi="Garamond"/>
        </w:rPr>
      </w:pPr>
      <w:r w:rsidRPr="00AE25FE">
        <w:rPr>
          <w:rFonts w:ascii="Garamond" w:hAnsi="Garamond"/>
        </w:rPr>
        <w:t xml:space="preserve">HIMSS (2009) </w:t>
      </w:r>
      <w:r w:rsidRPr="00AE25FE">
        <w:rPr>
          <w:rFonts w:ascii="Garamond" w:hAnsi="Garamond"/>
          <w:i/>
        </w:rPr>
        <w:t>EMR Adoption Model</w:t>
      </w:r>
      <w:r w:rsidRPr="00AE25FE">
        <w:rPr>
          <w:rFonts w:ascii="Garamond" w:hAnsi="Garamond"/>
        </w:rPr>
        <w:t>, HIMMS Analytics</w:t>
      </w:r>
    </w:p>
    <w:p w:rsidR="008F0070" w:rsidRPr="00AE25FE" w:rsidRDefault="008F0070" w:rsidP="00DF4210">
      <w:pPr>
        <w:autoSpaceDE w:val="0"/>
        <w:autoSpaceDN w:val="0"/>
        <w:adjustRightInd w:val="0"/>
        <w:spacing w:after="240"/>
        <w:ind w:left="720" w:hanging="720"/>
        <w:rPr>
          <w:rFonts w:ascii="Garamond" w:hAnsi="Garamond"/>
        </w:rPr>
      </w:pPr>
      <w:proofErr w:type="gramStart"/>
      <w:r w:rsidRPr="00AE25FE">
        <w:rPr>
          <w:rFonts w:ascii="Garamond" w:hAnsi="Garamond"/>
        </w:rPr>
        <w:t xml:space="preserve">Holland, M., </w:t>
      </w:r>
      <w:proofErr w:type="spellStart"/>
      <w:r w:rsidRPr="00AE25FE">
        <w:rPr>
          <w:rFonts w:ascii="Garamond" w:hAnsi="Garamond"/>
        </w:rPr>
        <w:t>Piai</w:t>
      </w:r>
      <w:proofErr w:type="spellEnd"/>
      <w:r w:rsidRPr="00AE25FE">
        <w:rPr>
          <w:rFonts w:ascii="Garamond" w:hAnsi="Garamond"/>
        </w:rPr>
        <w:t xml:space="preserve">, S. and </w:t>
      </w:r>
      <w:proofErr w:type="spellStart"/>
      <w:r w:rsidRPr="00AE25FE">
        <w:rPr>
          <w:rFonts w:ascii="Garamond" w:hAnsi="Garamond"/>
        </w:rPr>
        <w:t>Dunbrack</w:t>
      </w:r>
      <w:proofErr w:type="spellEnd"/>
      <w:r w:rsidRPr="00AE25FE">
        <w:rPr>
          <w:rFonts w:ascii="Garamond" w:hAnsi="Garamond"/>
        </w:rPr>
        <w:t xml:space="preserve">, L.A. (2008) Healthcare IT Maturity Model: Western </w:t>
      </w:r>
      <w:proofErr w:type="spellStart"/>
      <w:r w:rsidRPr="00AE25FE">
        <w:rPr>
          <w:rFonts w:ascii="Garamond" w:hAnsi="Garamond"/>
        </w:rPr>
        <w:t>EuropeanHospitals</w:t>
      </w:r>
      <w:proofErr w:type="spellEnd"/>
      <w:r w:rsidRPr="00AE25FE">
        <w:rPr>
          <w:rFonts w:ascii="Garamond" w:hAnsi="Garamond"/>
        </w:rPr>
        <w:t xml:space="preserve"> – The Leading Countries, February, Health Industry Insights #HI210231, IDC.</w:t>
      </w:r>
      <w:proofErr w:type="gramEnd"/>
    </w:p>
    <w:p w:rsidR="00840DC4" w:rsidRPr="00AE25FE" w:rsidRDefault="00840DC4" w:rsidP="00DF4210">
      <w:pPr>
        <w:autoSpaceDE w:val="0"/>
        <w:autoSpaceDN w:val="0"/>
        <w:adjustRightInd w:val="0"/>
        <w:spacing w:after="240"/>
        <w:ind w:left="720" w:hanging="720"/>
      </w:pPr>
      <w:r w:rsidRPr="00AE25FE">
        <w:rPr>
          <w:rFonts w:ascii="Garamond" w:hAnsi="Garamond"/>
        </w:rPr>
        <w:t>Keshavjee, K.</w:t>
      </w:r>
      <w:r w:rsidR="00C510AC" w:rsidRPr="00AE25FE">
        <w:rPr>
          <w:rFonts w:ascii="Garamond" w:hAnsi="Garamond"/>
        </w:rPr>
        <w:t>,</w:t>
      </w:r>
      <w:r w:rsidRPr="00AE25FE">
        <w:rPr>
          <w:rFonts w:ascii="Garamond" w:hAnsi="Garamond"/>
        </w:rPr>
        <w:t xml:space="preserve"> </w:t>
      </w:r>
      <w:proofErr w:type="spellStart"/>
      <w:r w:rsidR="00C510AC" w:rsidRPr="00AE25FE">
        <w:rPr>
          <w:rFonts w:ascii="Garamond" w:hAnsi="Garamond"/>
        </w:rPr>
        <w:t>Troyan</w:t>
      </w:r>
      <w:proofErr w:type="spellEnd"/>
      <w:r w:rsidR="00C510AC" w:rsidRPr="00AE25FE">
        <w:rPr>
          <w:rFonts w:ascii="Garamond" w:hAnsi="Garamond"/>
        </w:rPr>
        <w:t>, S., Holbrook, A.M., and</w:t>
      </w:r>
      <w:r w:rsidRPr="00AE25FE">
        <w:rPr>
          <w:rFonts w:ascii="Garamond" w:hAnsi="Garamond"/>
        </w:rPr>
        <w:t xml:space="preserve"> </w:t>
      </w:r>
      <w:proofErr w:type="spellStart"/>
      <w:r w:rsidRPr="00AE25FE">
        <w:rPr>
          <w:rFonts w:ascii="Garamond" w:hAnsi="Garamond"/>
        </w:rPr>
        <w:t>VanderMolen</w:t>
      </w:r>
      <w:proofErr w:type="spellEnd"/>
      <w:r w:rsidRPr="00AE25FE">
        <w:rPr>
          <w:rFonts w:ascii="Garamond" w:hAnsi="Garamond"/>
        </w:rPr>
        <w:t xml:space="preserve">, D </w:t>
      </w:r>
      <w:r w:rsidRPr="00AE25FE">
        <w:t>(2001</w:t>
      </w:r>
      <w:proofErr w:type="gramStart"/>
      <w:r w:rsidRPr="00AE25FE">
        <w:t xml:space="preserve">)  </w:t>
      </w:r>
      <w:r w:rsidRPr="00AE25FE">
        <w:rPr>
          <w:rFonts w:ascii="Garamond" w:hAnsi="Garamond"/>
        </w:rPr>
        <w:t>Measuring</w:t>
      </w:r>
      <w:proofErr w:type="gramEnd"/>
      <w:r w:rsidRPr="00AE25FE">
        <w:rPr>
          <w:rFonts w:ascii="Garamond" w:hAnsi="Garamond"/>
        </w:rPr>
        <w:t xml:space="preserve"> the Success of Electronic Medical Record Implementation Using Electronic and Survey Data, </w:t>
      </w:r>
      <w:r w:rsidRPr="00AE25FE">
        <w:rPr>
          <w:rFonts w:ascii="Garamond" w:hAnsi="Garamond"/>
          <w:i/>
        </w:rPr>
        <w:t>Journal of the American Medical Information Association</w:t>
      </w:r>
      <w:r w:rsidRPr="00AE25FE">
        <w:t>, pp 301-313</w:t>
      </w:r>
    </w:p>
    <w:p w:rsidR="00980CC2" w:rsidRPr="00AE25FE" w:rsidRDefault="00980CC2" w:rsidP="00DF4210">
      <w:pPr>
        <w:autoSpaceDE w:val="0"/>
        <w:autoSpaceDN w:val="0"/>
        <w:adjustRightInd w:val="0"/>
        <w:spacing w:after="240"/>
        <w:ind w:left="720" w:hanging="720"/>
        <w:rPr>
          <w:rFonts w:ascii="Garamond" w:hAnsi="Garamond"/>
        </w:rPr>
      </w:pPr>
      <w:proofErr w:type="spellStart"/>
      <w:r w:rsidRPr="00AE25FE">
        <w:rPr>
          <w:rFonts w:ascii="Garamond" w:hAnsi="Garamond"/>
        </w:rPr>
        <w:t>Kuperman</w:t>
      </w:r>
      <w:proofErr w:type="spellEnd"/>
      <w:r w:rsidRPr="00AE25FE">
        <w:rPr>
          <w:rFonts w:ascii="Garamond" w:hAnsi="Garamond"/>
        </w:rPr>
        <w:t xml:space="preserve"> G.J. (2011) Health-information </w:t>
      </w:r>
      <w:proofErr w:type="gramStart"/>
      <w:r w:rsidRPr="00AE25FE">
        <w:rPr>
          <w:rFonts w:ascii="Garamond" w:hAnsi="Garamond"/>
        </w:rPr>
        <w:t>exchange</w:t>
      </w:r>
      <w:proofErr w:type="gramEnd"/>
      <w:r w:rsidRPr="00AE25FE">
        <w:rPr>
          <w:rFonts w:ascii="Garamond" w:hAnsi="Garamond"/>
        </w:rPr>
        <w:t xml:space="preserve">: why are we doing it, and what are we doing? </w:t>
      </w:r>
      <w:r w:rsidRPr="00AE25FE">
        <w:rPr>
          <w:rFonts w:ascii="Garamond" w:hAnsi="Garamond"/>
          <w:i/>
        </w:rPr>
        <w:t>Journal of the American Medical Information Association</w:t>
      </w:r>
      <w:r w:rsidRPr="00AE25FE">
        <w:rPr>
          <w:rFonts w:ascii="Garamond" w:hAnsi="Garamond"/>
        </w:rPr>
        <w:t xml:space="preserve"> 18 (678)</w:t>
      </w:r>
    </w:p>
    <w:p w:rsidR="00CC3D1B" w:rsidRPr="00AE25FE" w:rsidRDefault="00CC3D1B" w:rsidP="00DF4210">
      <w:pPr>
        <w:autoSpaceDE w:val="0"/>
        <w:autoSpaceDN w:val="0"/>
        <w:adjustRightInd w:val="0"/>
        <w:spacing w:after="240"/>
        <w:ind w:left="720" w:hanging="720"/>
        <w:rPr>
          <w:rFonts w:ascii="Garamond" w:hAnsi="Garamond"/>
        </w:rPr>
      </w:pPr>
      <w:r w:rsidRPr="00AE25FE">
        <w:rPr>
          <w:rFonts w:ascii="Garamond" w:hAnsi="Garamond"/>
        </w:rPr>
        <w:t xml:space="preserve">Nolan, R., (1973) ‘Managing </w:t>
      </w:r>
      <w:proofErr w:type="gramStart"/>
      <w:r w:rsidRPr="00AE25FE">
        <w:rPr>
          <w:rFonts w:ascii="Garamond" w:hAnsi="Garamond"/>
        </w:rPr>
        <w:t>the  computer</w:t>
      </w:r>
      <w:proofErr w:type="gramEnd"/>
      <w:r w:rsidRPr="00AE25FE">
        <w:rPr>
          <w:rFonts w:ascii="Garamond" w:hAnsi="Garamond"/>
        </w:rPr>
        <w:t xml:space="preserve"> resource: a stage hypothesis’, </w:t>
      </w:r>
      <w:r w:rsidRPr="00AE25FE">
        <w:rPr>
          <w:rFonts w:ascii="Garamond" w:hAnsi="Garamond"/>
          <w:i/>
        </w:rPr>
        <w:t>Communications of the ACM</w:t>
      </w:r>
      <w:r w:rsidRPr="00AE25FE">
        <w:rPr>
          <w:rFonts w:ascii="Garamond" w:hAnsi="Garamond"/>
        </w:rPr>
        <w:t>, Vol. 16, No. 7, pp.399–405.</w:t>
      </w:r>
    </w:p>
    <w:p w:rsidR="00F95866" w:rsidRPr="00AE25FE" w:rsidRDefault="00F95866" w:rsidP="00DF4210">
      <w:pPr>
        <w:autoSpaceDE w:val="0"/>
        <w:autoSpaceDN w:val="0"/>
        <w:adjustRightInd w:val="0"/>
        <w:spacing w:after="240"/>
        <w:ind w:left="720" w:hanging="720"/>
        <w:rPr>
          <w:rFonts w:ascii="Garamond" w:hAnsi="Garamond"/>
        </w:rPr>
      </w:pPr>
      <w:r w:rsidRPr="00AE25FE">
        <w:rPr>
          <w:rFonts w:ascii="Garamond" w:hAnsi="Garamond"/>
        </w:rPr>
        <w:t>Ontario eHealth (2011), Moving toward meaningful use, eHealth Ontario</w:t>
      </w:r>
    </w:p>
    <w:p w:rsidR="00CC3D1B" w:rsidRPr="00AE25FE" w:rsidRDefault="00CC3D1B" w:rsidP="00DF4210">
      <w:pPr>
        <w:autoSpaceDE w:val="0"/>
        <w:autoSpaceDN w:val="0"/>
        <w:adjustRightInd w:val="0"/>
        <w:spacing w:after="240"/>
        <w:ind w:left="720" w:hanging="720"/>
        <w:rPr>
          <w:rFonts w:ascii="Garamond" w:hAnsi="Garamond"/>
        </w:rPr>
      </w:pPr>
      <w:r w:rsidRPr="00AE25FE">
        <w:rPr>
          <w:rFonts w:ascii="Garamond" w:hAnsi="Garamond"/>
        </w:rPr>
        <w:t>Roch</w:t>
      </w:r>
      <w:r w:rsidR="008422E6" w:rsidRPr="00AE25FE">
        <w:rPr>
          <w:rFonts w:ascii="Garamond" w:hAnsi="Garamond"/>
        </w:rPr>
        <w:t>a</w:t>
      </w:r>
      <w:r w:rsidRPr="00AE25FE">
        <w:rPr>
          <w:rFonts w:ascii="Garamond" w:hAnsi="Garamond"/>
        </w:rPr>
        <w:t xml:space="preserve">, A. (2012) Maturity models for management of information systems and technologies of healthcare, </w:t>
      </w:r>
      <w:r w:rsidRPr="00AE25FE">
        <w:rPr>
          <w:rFonts w:ascii="Garamond" w:hAnsi="Garamond"/>
          <w:i/>
        </w:rPr>
        <w:t>International Journal of Business Information Systems</w:t>
      </w:r>
      <w:r w:rsidRPr="00AE25FE">
        <w:rPr>
          <w:rFonts w:ascii="Garamond" w:hAnsi="Garamond"/>
        </w:rPr>
        <w:t>, 9(2)</w:t>
      </w:r>
    </w:p>
    <w:p w:rsidR="00CC3D1B" w:rsidRPr="00AE25FE" w:rsidRDefault="00CC3D1B" w:rsidP="00DF4210">
      <w:pPr>
        <w:autoSpaceDE w:val="0"/>
        <w:autoSpaceDN w:val="0"/>
        <w:adjustRightInd w:val="0"/>
        <w:spacing w:after="240"/>
        <w:ind w:left="720" w:hanging="720"/>
        <w:rPr>
          <w:rFonts w:ascii="Garamond" w:hAnsi="Garamond"/>
        </w:rPr>
      </w:pPr>
      <w:r w:rsidRPr="00AE25FE">
        <w:rPr>
          <w:rFonts w:ascii="Garamond" w:hAnsi="Garamond"/>
        </w:rPr>
        <w:t>Sharma, B., (2008)</w:t>
      </w:r>
      <w:proofErr w:type="gramStart"/>
      <w:r w:rsidRPr="00AE25FE">
        <w:rPr>
          <w:rFonts w:ascii="Garamond" w:hAnsi="Garamond"/>
        </w:rPr>
        <w:t xml:space="preserve">,  </w:t>
      </w:r>
      <w:r w:rsidRPr="00AE25FE">
        <w:rPr>
          <w:rFonts w:ascii="Garamond" w:hAnsi="Garamond"/>
          <w:i/>
        </w:rPr>
        <w:t>Electronic</w:t>
      </w:r>
      <w:proofErr w:type="gramEnd"/>
      <w:r w:rsidRPr="00AE25FE">
        <w:rPr>
          <w:rFonts w:ascii="Garamond" w:hAnsi="Garamond"/>
          <w:i/>
        </w:rPr>
        <w:t xml:space="preserve"> Healthcare Maturity Model</w:t>
      </w:r>
      <w:r w:rsidRPr="00AE25FE">
        <w:rPr>
          <w:rFonts w:ascii="Garamond" w:hAnsi="Garamond"/>
        </w:rPr>
        <w:t xml:space="preserve"> (</w:t>
      </w:r>
      <w:proofErr w:type="spellStart"/>
      <w:r w:rsidRPr="00AE25FE">
        <w:rPr>
          <w:rFonts w:ascii="Garamond" w:hAnsi="Garamond"/>
        </w:rPr>
        <w:t>eHMM</w:t>
      </w:r>
      <w:proofErr w:type="spellEnd"/>
      <w:r w:rsidRPr="00AE25FE">
        <w:rPr>
          <w:rFonts w:ascii="Garamond" w:hAnsi="Garamond"/>
        </w:rPr>
        <w:t xml:space="preserve">), </w:t>
      </w:r>
      <w:proofErr w:type="spellStart"/>
      <w:r w:rsidRPr="00AE25FE">
        <w:rPr>
          <w:rFonts w:ascii="Garamond" w:hAnsi="Garamond"/>
        </w:rPr>
        <w:t>Quintegra</w:t>
      </w:r>
      <w:proofErr w:type="spellEnd"/>
      <w:r w:rsidRPr="00AE25FE">
        <w:rPr>
          <w:rFonts w:ascii="Garamond" w:hAnsi="Garamond"/>
        </w:rPr>
        <w:t>.</w:t>
      </w:r>
    </w:p>
    <w:p w:rsidR="00980CC2" w:rsidRPr="00AE25FE" w:rsidRDefault="00980CC2" w:rsidP="00DF4210">
      <w:pPr>
        <w:autoSpaceDE w:val="0"/>
        <w:autoSpaceDN w:val="0"/>
        <w:adjustRightInd w:val="0"/>
        <w:spacing w:after="240"/>
        <w:ind w:left="720" w:hanging="720"/>
      </w:pPr>
      <w:proofErr w:type="spellStart"/>
      <w:r w:rsidRPr="00AE25FE">
        <w:rPr>
          <w:rFonts w:ascii="Garamond" w:hAnsi="Garamond"/>
        </w:rPr>
        <w:t>Tamburis</w:t>
      </w:r>
      <w:proofErr w:type="spellEnd"/>
      <w:r w:rsidRPr="00AE25FE">
        <w:rPr>
          <w:rFonts w:ascii="Garamond" w:hAnsi="Garamond"/>
        </w:rPr>
        <w:t xml:space="preserve"> </w:t>
      </w:r>
      <w:r w:rsidR="00C861E3" w:rsidRPr="00AE25FE">
        <w:rPr>
          <w:rFonts w:ascii="Garamond" w:hAnsi="Garamond"/>
        </w:rPr>
        <w:t>O.,</w:t>
      </w:r>
      <w:r w:rsidRPr="00AE25FE">
        <w:rPr>
          <w:rFonts w:ascii="Garamond" w:hAnsi="Garamond"/>
        </w:rPr>
        <w:t xml:space="preserve"> </w:t>
      </w:r>
      <w:proofErr w:type="spellStart"/>
      <w:r w:rsidRPr="00AE25FE">
        <w:rPr>
          <w:rFonts w:ascii="Garamond" w:hAnsi="Garamond"/>
        </w:rPr>
        <w:t>Mangia</w:t>
      </w:r>
      <w:proofErr w:type="spellEnd"/>
      <w:r w:rsidRPr="00AE25FE">
        <w:rPr>
          <w:rFonts w:ascii="Garamond" w:hAnsi="Garamond"/>
        </w:rPr>
        <w:t>, M.</w:t>
      </w:r>
      <w:r w:rsidR="00C861E3" w:rsidRPr="00AE25FE">
        <w:rPr>
          <w:rFonts w:ascii="Garamond" w:hAnsi="Garamond"/>
        </w:rPr>
        <w:t xml:space="preserve">, </w:t>
      </w:r>
      <w:r w:rsidRPr="00AE25FE">
        <w:rPr>
          <w:rFonts w:ascii="Garamond" w:hAnsi="Garamond"/>
        </w:rPr>
        <w:t>Rossi</w:t>
      </w:r>
      <w:proofErr w:type="gramStart"/>
      <w:r w:rsidRPr="00AE25FE">
        <w:rPr>
          <w:rFonts w:ascii="Garamond" w:hAnsi="Garamond"/>
        </w:rPr>
        <w:t>,  M</w:t>
      </w:r>
      <w:proofErr w:type="gramEnd"/>
      <w:r w:rsidRPr="00AE25FE">
        <w:rPr>
          <w:rFonts w:ascii="Garamond" w:hAnsi="Garamond"/>
        </w:rPr>
        <w:t xml:space="preserve">. A. </w:t>
      </w:r>
      <w:r w:rsidRPr="00AE25FE">
        <w:t xml:space="preserve">(2011) </w:t>
      </w:r>
      <w:r w:rsidRPr="00AE25FE">
        <w:rPr>
          <w:rFonts w:ascii="Garamond" w:hAnsi="Garamond"/>
        </w:rPr>
        <w:t xml:space="preserve">The LITIS Initiative: Measuring the Level of eHealth Adoption in the Italian Healthcare Trusts </w:t>
      </w:r>
      <w:hyperlink r:id="rId49" w:history="1">
        <w:r w:rsidRPr="00AE25FE">
          <w:t>http://aisel.aisnet.org/bled2011/58/</w:t>
        </w:r>
      </w:hyperlink>
      <w:r w:rsidRPr="00AE25FE">
        <w:t xml:space="preserve"> (accessed May 20, 2012)</w:t>
      </w:r>
    </w:p>
    <w:p w:rsidR="00CC3D1B" w:rsidRPr="00AE25FE" w:rsidRDefault="00CC3D1B" w:rsidP="00DF4210">
      <w:pPr>
        <w:autoSpaceDE w:val="0"/>
        <w:autoSpaceDN w:val="0"/>
        <w:adjustRightInd w:val="0"/>
        <w:spacing w:after="240"/>
        <w:ind w:left="720" w:hanging="720"/>
        <w:rPr>
          <w:rFonts w:ascii="Garamond" w:hAnsi="Garamond"/>
        </w:rPr>
      </w:pPr>
      <w:proofErr w:type="spellStart"/>
      <w:r w:rsidRPr="00AE25FE">
        <w:rPr>
          <w:rFonts w:ascii="Garamond" w:hAnsi="Garamond"/>
        </w:rPr>
        <w:t>Wetering</w:t>
      </w:r>
      <w:proofErr w:type="spellEnd"/>
      <w:r w:rsidRPr="00AE25FE">
        <w:rPr>
          <w:rFonts w:ascii="Garamond" w:hAnsi="Garamond"/>
        </w:rPr>
        <w:t xml:space="preserve">, R. and </w:t>
      </w:r>
      <w:proofErr w:type="spellStart"/>
      <w:r w:rsidRPr="00AE25FE">
        <w:rPr>
          <w:rFonts w:ascii="Garamond" w:hAnsi="Garamond"/>
        </w:rPr>
        <w:t>Batenburg</w:t>
      </w:r>
      <w:proofErr w:type="spellEnd"/>
      <w:r w:rsidRPr="00AE25FE">
        <w:rPr>
          <w:rFonts w:ascii="Garamond" w:hAnsi="Garamond"/>
        </w:rPr>
        <w:t xml:space="preserve">, R., (2009) ‘A PACS maturity model: a systematic meta-analytic review on maturation and </w:t>
      </w:r>
      <w:proofErr w:type="spellStart"/>
      <w:r w:rsidRPr="00AE25FE">
        <w:rPr>
          <w:rFonts w:ascii="Garamond" w:hAnsi="Garamond"/>
        </w:rPr>
        <w:t>evolvability</w:t>
      </w:r>
      <w:proofErr w:type="spellEnd"/>
      <w:r w:rsidRPr="00AE25FE">
        <w:rPr>
          <w:rFonts w:ascii="Garamond" w:hAnsi="Garamond"/>
        </w:rPr>
        <w:t xml:space="preserve"> of PACS in the hospital enterprise’</w:t>
      </w:r>
      <w:r w:rsidRPr="00AE25FE">
        <w:rPr>
          <w:rFonts w:ascii="Garamond" w:hAnsi="Garamond"/>
          <w:i/>
        </w:rPr>
        <w:t>, International Journal of Medical Informatics</w:t>
      </w:r>
      <w:r w:rsidRPr="00AE25FE">
        <w:rPr>
          <w:rFonts w:ascii="Garamond" w:hAnsi="Garamond"/>
        </w:rPr>
        <w:t>, Vol. 78, pp.127–140.</w:t>
      </w:r>
    </w:p>
    <w:p w:rsidR="00FF2BB8" w:rsidRPr="00973944" w:rsidRDefault="00FF2BB8" w:rsidP="00DF4210">
      <w:pPr>
        <w:autoSpaceDE w:val="0"/>
        <w:autoSpaceDN w:val="0"/>
        <w:adjustRightInd w:val="0"/>
        <w:spacing w:after="240"/>
        <w:ind w:left="720" w:hanging="720"/>
        <w:rPr>
          <w:rStyle w:val="SubtleEmphasis"/>
          <w:rFonts w:ascii="Garamond" w:hAnsi="Garamond"/>
          <w:i w:val="0"/>
          <w:iCs w:val="0"/>
          <w:color w:val="auto"/>
        </w:rPr>
      </w:pPr>
      <w:proofErr w:type="gramStart"/>
      <w:r w:rsidRPr="00AE25FE">
        <w:rPr>
          <w:rFonts w:ascii="Garamond" w:hAnsi="Garamond"/>
        </w:rPr>
        <w:t>Weber-</w:t>
      </w:r>
      <w:proofErr w:type="spellStart"/>
      <w:r w:rsidRPr="00AE25FE">
        <w:rPr>
          <w:rFonts w:ascii="Garamond" w:hAnsi="Garamond"/>
        </w:rPr>
        <w:t>Jahnke</w:t>
      </w:r>
      <w:proofErr w:type="spellEnd"/>
      <w:r w:rsidRPr="00AE25FE">
        <w:rPr>
          <w:rFonts w:ascii="Garamond" w:hAnsi="Garamond"/>
        </w:rPr>
        <w:t xml:space="preserve"> J., Peyton L., and </w:t>
      </w:r>
      <w:proofErr w:type="spellStart"/>
      <w:r w:rsidRPr="00AE25FE">
        <w:rPr>
          <w:rFonts w:ascii="Garamond" w:hAnsi="Garamond"/>
        </w:rPr>
        <w:t>Topaloglou</w:t>
      </w:r>
      <w:proofErr w:type="spellEnd"/>
      <w:r w:rsidRPr="00AE25FE">
        <w:rPr>
          <w:rFonts w:ascii="Garamond" w:hAnsi="Garamond"/>
        </w:rPr>
        <w:t>, T.</w:t>
      </w:r>
      <w:proofErr w:type="gramEnd"/>
      <w:r w:rsidRPr="00AE25FE">
        <w:rPr>
          <w:rFonts w:ascii="Garamond" w:hAnsi="Garamond"/>
        </w:rPr>
        <w:t xml:space="preserve">  (2012)  eHealth system interoperability, </w:t>
      </w:r>
      <w:r w:rsidRPr="00AE25FE">
        <w:rPr>
          <w:rFonts w:ascii="Garamond" w:hAnsi="Garamond"/>
          <w:i/>
        </w:rPr>
        <w:t>Information Systems Frontiers</w:t>
      </w:r>
      <w:r w:rsidRPr="00AE25FE">
        <w:rPr>
          <w:rFonts w:ascii="Garamond" w:hAnsi="Garamond"/>
        </w:rPr>
        <w:t xml:space="preserve"> 14(1–3)</w:t>
      </w:r>
    </w:p>
    <w:sectPr w:rsidR="00FF2BB8" w:rsidRPr="00973944" w:rsidSect="00DA1A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8E" w:rsidRDefault="0028358E" w:rsidP="00111F31">
      <w:r>
        <w:separator/>
      </w:r>
    </w:p>
  </w:endnote>
  <w:endnote w:type="continuationSeparator" w:id="0">
    <w:p w:rsidR="0028358E" w:rsidRDefault="0028358E" w:rsidP="0011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vPECFD3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2" w:rsidRDefault="00E12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2" w:rsidRPr="009E06FF" w:rsidRDefault="00E12892" w:rsidP="009E06FF">
    <w:pPr>
      <w:pStyle w:val="Footer"/>
      <w:tabs>
        <w:tab w:val="left" w:pos="2070"/>
        <w:tab w:val="left" w:pos="2700"/>
        <w:tab w:val="left" w:pos="4230"/>
        <w:tab w:val="left" w:pos="5400"/>
        <w:tab w:val="right" w:pos="8460"/>
      </w:tabs>
      <w:ind w:right="900"/>
      <w:rPr>
        <w:rFonts w:ascii="Garamond" w:hAnsi="Garamond"/>
      </w:rPr>
    </w:pPr>
    <w:r w:rsidRPr="009E06FF">
      <w:rPr>
        <w:rFonts w:ascii="Garamond" w:hAnsi="Garamond"/>
        <w:b/>
        <w:bCs/>
        <w:sz w:val="22"/>
      </w:rPr>
      <w:t>Draft – For Discussion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2" w:rsidRDefault="00E12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8E" w:rsidRDefault="0028358E" w:rsidP="00111F31">
      <w:r>
        <w:separator/>
      </w:r>
    </w:p>
  </w:footnote>
  <w:footnote w:type="continuationSeparator" w:id="0">
    <w:p w:rsidR="0028358E" w:rsidRDefault="0028358E" w:rsidP="00111F31">
      <w:r>
        <w:continuationSeparator/>
      </w:r>
    </w:p>
  </w:footnote>
  <w:footnote w:id="1">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PRA Inc (www.pra.ca), </w:t>
      </w:r>
      <w:smartTag w:uri="urn:schemas-microsoft-com:office:smarttags" w:element="City">
        <w:r w:rsidRPr="00070DEA">
          <w:rPr>
            <w:rFonts w:ascii="Garamond" w:hAnsi="Garamond"/>
          </w:rPr>
          <w:t>Winnipeg</w:t>
        </w:r>
      </w:smartTag>
      <w:r w:rsidRPr="00070DEA">
        <w:rPr>
          <w:rFonts w:ascii="Garamond" w:hAnsi="Garamond"/>
        </w:rPr>
        <w:t xml:space="preserve">, </w:t>
      </w:r>
      <w:smartTag w:uri="urn:schemas-microsoft-com:office:smarttags" w:element="State">
        <w:r w:rsidRPr="00070DEA">
          <w:rPr>
            <w:rFonts w:ascii="Garamond" w:hAnsi="Garamond"/>
          </w:rPr>
          <w:t>Manitoba</w:t>
        </w:r>
      </w:smartTag>
      <w:r w:rsidRPr="00070DEA">
        <w:rPr>
          <w:rFonts w:ascii="Garamond" w:hAnsi="Garamond"/>
        </w:rPr>
        <w:t xml:space="preserve">, </w:t>
      </w:r>
      <w:smartTag w:uri="urn:schemas-microsoft-com:office:smarttags" w:element="country-region">
        <w:r w:rsidRPr="00070DEA">
          <w:rPr>
            <w:rFonts w:ascii="Garamond" w:hAnsi="Garamond"/>
          </w:rPr>
          <w:t>Canada</w:t>
        </w:r>
      </w:smartTag>
      <w:r w:rsidRPr="00070DEA">
        <w:rPr>
          <w:rFonts w:ascii="Garamond" w:hAnsi="Garamond"/>
        </w:rPr>
        <w:t xml:space="preserve">  and Department of Economics, </w:t>
      </w:r>
      <w:smartTag w:uri="urn:schemas-microsoft-com:office:smarttags" w:element="place">
        <w:smartTag w:uri="urn:schemas-microsoft-com:office:smarttags" w:element="PlaceType">
          <w:r w:rsidRPr="00070DEA">
            <w:rPr>
              <w:rFonts w:ascii="Garamond" w:hAnsi="Garamond"/>
            </w:rPr>
            <w:t>University</w:t>
          </w:r>
        </w:smartTag>
        <w:r w:rsidRPr="00070DEA">
          <w:rPr>
            <w:rFonts w:ascii="Garamond" w:hAnsi="Garamond"/>
          </w:rPr>
          <w:t xml:space="preserve"> of </w:t>
        </w:r>
        <w:smartTag w:uri="urn:schemas-microsoft-com:office:smarttags" w:element="PlaceName">
          <w:r w:rsidRPr="00070DEA">
            <w:rPr>
              <w:rFonts w:ascii="Garamond" w:hAnsi="Garamond"/>
            </w:rPr>
            <w:t>Manitoba</w:t>
          </w:r>
        </w:smartTag>
      </w:smartTag>
    </w:p>
  </w:footnote>
  <w:footnote w:id="2">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PRA Inc. </w:t>
      </w:r>
      <w:smartTag w:uri="urn:schemas-microsoft-com:office:smarttags" w:element="place">
        <w:smartTag w:uri="urn:schemas-microsoft-com:office:smarttags" w:element="City">
          <w:r w:rsidRPr="00070DEA">
            <w:rPr>
              <w:rFonts w:ascii="Garamond" w:hAnsi="Garamond"/>
            </w:rPr>
            <w:t>Winnipeg</w:t>
          </w:r>
        </w:smartTag>
        <w:r w:rsidRPr="00070DEA">
          <w:rPr>
            <w:rFonts w:ascii="Garamond" w:hAnsi="Garamond"/>
          </w:rPr>
          <w:t xml:space="preserve">, </w:t>
        </w:r>
        <w:smartTag w:uri="urn:schemas-microsoft-com:office:smarttags" w:element="State">
          <w:r w:rsidRPr="00070DEA">
            <w:rPr>
              <w:rFonts w:ascii="Garamond" w:hAnsi="Garamond"/>
            </w:rPr>
            <w:t>Manitoba</w:t>
          </w:r>
        </w:smartTag>
        <w:r w:rsidRPr="00070DEA">
          <w:rPr>
            <w:rFonts w:ascii="Garamond" w:hAnsi="Garamond"/>
          </w:rPr>
          <w:t xml:space="preserve">, </w:t>
        </w:r>
        <w:smartTag w:uri="urn:schemas-microsoft-com:office:smarttags" w:element="country-region">
          <w:r w:rsidRPr="00070DEA">
            <w:rPr>
              <w:rFonts w:ascii="Garamond" w:hAnsi="Garamond"/>
            </w:rPr>
            <w:t>Canada</w:t>
          </w:r>
        </w:smartTag>
      </w:smartTag>
      <w:r w:rsidRPr="00070DEA">
        <w:rPr>
          <w:rFonts w:ascii="Garamond" w:hAnsi="Garamond"/>
        </w:rPr>
        <w:t xml:space="preserve">  </w:t>
      </w:r>
    </w:p>
  </w:footnote>
  <w:footnote w:id="3">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PRA Inc. </w:t>
      </w:r>
      <w:smartTag w:uri="urn:schemas-microsoft-com:office:smarttags" w:element="place">
        <w:smartTag w:uri="urn:schemas-microsoft-com:office:smarttags" w:element="City">
          <w:r w:rsidRPr="00070DEA">
            <w:rPr>
              <w:rFonts w:ascii="Garamond" w:hAnsi="Garamond"/>
            </w:rPr>
            <w:t>Winnipeg</w:t>
          </w:r>
        </w:smartTag>
        <w:r w:rsidRPr="00070DEA">
          <w:rPr>
            <w:rFonts w:ascii="Garamond" w:hAnsi="Garamond"/>
          </w:rPr>
          <w:t xml:space="preserve">, </w:t>
        </w:r>
        <w:smartTag w:uri="urn:schemas-microsoft-com:office:smarttags" w:element="State">
          <w:r w:rsidRPr="00070DEA">
            <w:rPr>
              <w:rFonts w:ascii="Garamond" w:hAnsi="Garamond"/>
            </w:rPr>
            <w:t>Manitoba</w:t>
          </w:r>
        </w:smartTag>
        <w:r w:rsidRPr="00070DEA">
          <w:rPr>
            <w:rFonts w:ascii="Garamond" w:hAnsi="Garamond"/>
          </w:rPr>
          <w:t xml:space="preserve">, </w:t>
        </w:r>
        <w:smartTag w:uri="urn:schemas-microsoft-com:office:smarttags" w:element="country-region">
          <w:r w:rsidRPr="00070DEA">
            <w:rPr>
              <w:rFonts w:ascii="Garamond" w:hAnsi="Garamond"/>
            </w:rPr>
            <w:t>Canada</w:t>
          </w:r>
        </w:smartTag>
      </w:smartTag>
      <w:r w:rsidRPr="00070DEA">
        <w:rPr>
          <w:rFonts w:ascii="Garamond" w:hAnsi="Garamond"/>
        </w:rPr>
        <w:t xml:space="preserve">  </w:t>
      </w:r>
    </w:p>
  </w:footnote>
  <w:footnote w:id="4">
    <w:p w:rsidR="00E12892" w:rsidRDefault="00E12892" w:rsidP="007C7760">
      <w:pPr>
        <w:autoSpaceDE w:val="0"/>
        <w:autoSpaceDN w:val="0"/>
        <w:adjustRightInd w:val="0"/>
        <w:ind w:left="720" w:hanging="720"/>
      </w:pPr>
      <w:r w:rsidRPr="00070DEA">
        <w:rPr>
          <w:rStyle w:val="FootnoteReference"/>
          <w:rFonts w:ascii="Garamond" w:hAnsi="Garamond"/>
          <w:sz w:val="20"/>
          <w:szCs w:val="20"/>
        </w:rPr>
        <w:footnoteRef/>
      </w:r>
      <w:r w:rsidRPr="00070DEA">
        <w:rPr>
          <w:rFonts w:ascii="Garamond" w:hAnsi="Garamond"/>
          <w:sz w:val="20"/>
          <w:szCs w:val="20"/>
        </w:rPr>
        <w:t xml:space="preserve"> </w:t>
      </w:r>
      <w:r w:rsidRPr="00070DEA">
        <w:rPr>
          <w:rFonts w:ascii="Garamond" w:hAnsi="Garamond"/>
          <w:sz w:val="20"/>
          <w:szCs w:val="20"/>
        </w:rPr>
        <w:tab/>
      </w:r>
      <w:smartTag w:uri="urn:schemas-microsoft-com:office:smarttags" w:element="PlaceType">
        <w:r w:rsidRPr="00070DEA">
          <w:rPr>
            <w:rFonts w:ascii="Garamond" w:hAnsi="Garamond"/>
            <w:sz w:val="20"/>
            <w:szCs w:val="20"/>
          </w:rPr>
          <w:t>School</w:t>
        </w:r>
      </w:smartTag>
      <w:r w:rsidRPr="00070DEA">
        <w:rPr>
          <w:rFonts w:ascii="Garamond" w:hAnsi="Garamond"/>
          <w:sz w:val="20"/>
          <w:szCs w:val="20"/>
        </w:rPr>
        <w:t xml:space="preserve"> of </w:t>
      </w:r>
      <w:smartTag w:uri="urn:schemas-microsoft-com:office:smarttags" w:element="PlaceName">
        <w:r w:rsidRPr="00070DEA">
          <w:rPr>
            <w:rFonts w:ascii="Garamond" w:hAnsi="Garamond"/>
            <w:sz w:val="20"/>
            <w:szCs w:val="20"/>
          </w:rPr>
          <w:t>Health</w:t>
        </w:r>
      </w:smartTag>
      <w:r w:rsidRPr="00070DEA">
        <w:rPr>
          <w:rFonts w:ascii="Garamond" w:hAnsi="Garamond"/>
          <w:sz w:val="20"/>
          <w:szCs w:val="20"/>
        </w:rPr>
        <w:t xml:space="preserve"> Information Science, University of Victoria, </w:t>
      </w:r>
      <w:smartTag w:uri="urn:schemas-microsoft-com:office:smarttags" w:element="place">
        <w:smartTag w:uri="urn:schemas-microsoft-com:office:smarttags" w:element="City">
          <w:r w:rsidRPr="00070DEA">
            <w:rPr>
              <w:rFonts w:ascii="Garamond" w:hAnsi="Garamond"/>
              <w:sz w:val="20"/>
              <w:szCs w:val="20"/>
            </w:rPr>
            <w:t>Victoria</w:t>
          </w:r>
        </w:smartTag>
        <w:r w:rsidRPr="00070DEA">
          <w:rPr>
            <w:rFonts w:ascii="Garamond" w:hAnsi="Garamond"/>
            <w:sz w:val="20"/>
            <w:szCs w:val="20"/>
          </w:rPr>
          <w:t xml:space="preserve">, </w:t>
        </w:r>
        <w:smartTag w:uri="urn:schemas-microsoft-com:office:smarttags" w:element="State">
          <w:r w:rsidRPr="00070DEA">
            <w:rPr>
              <w:rFonts w:ascii="Garamond" w:hAnsi="Garamond"/>
              <w:sz w:val="20"/>
              <w:szCs w:val="20"/>
            </w:rPr>
            <w:t>British Columbia</w:t>
          </w:r>
        </w:smartTag>
        <w:r w:rsidRPr="00070DEA">
          <w:rPr>
            <w:rFonts w:ascii="Garamond" w:hAnsi="Garamond"/>
            <w:sz w:val="20"/>
            <w:szCs w:val="20"/>
          </w:rPr>
          <w:t xml:space="preserve"> ,</w:t>
        </w:r>
        <w:smartTag w:uri="urn:schemas-microsoft-com:office:smarttags" w:element="country-region">
          <w:r w:rsidRPr="00070DEA">
            <w:rPr>
              <w:rFonts w:ascii="Garamond" w:hAnsi="Garamond"/>
              <w:sz w:val="20"/>
              <w:szCs w:val="20"/>
            </w:rPr>
            <w:t>Canada</w:t>
          </w:r>
        </w:smartTag>
      </w:smartTag>
    </w:p>
  </w:footnote>
  <w:footnote w:id="5">
    <w:p w:rsidR="00E12892" w:rsidRDefault="00E12892" w:rsidP="007C7760">
      <w:pPr>
        <w:autoSpaceDE w:val="0"/>
        <w:autoSpaceDN w:val="0"/>
        <w:adjustRightInd w:val="0"/>
        <w:ind w:left="720" w:hanging="720"/>
      </w:pPr>
      <w:r w:rsidRPr="00070DEA">
        <w:rPr>
          <w:rStyle w:val="FootnoteReference"/>
          <w:rFonts w:ascii="Garamond" w:hAnsi="Garamond"/>
          <w:sz w:val="20"/>
          <w:szCs w:val="20"/>
        </w:rPr>
        <w:footnoteRef/>
      </w:r>
      <w:r w:rsidRPr="00070DEA">
        <w:rPr>
          <w:rFonts w:ascii="Garamond" w:hAnsi="Garamond"/>
          <w:sz w:val="20"/>
          <w:szCs w:val="20"/>
        </w:rPr>
        <w:t xml:space="preserve"> </w:t>
      </w:r>
      <w:r w:rsidRPr="00070DEA">
        <w:rPr>
          <w:rFonts w:ascii="Garamond" w:hAnsi="Garamond"/>
          <w:sz w:val="20"/>
          <w:szCs w:val="20"/>
        </w:rPr>
        <w:tab/>
      </w:r>
      <w:r w:rsidRPr="00070DEA">
        <w:rPr>
          <w:rFonts w:ascii="Garamond" w:hAnsi="Garamond" w:cs="AdvPECFD32"/>
          <w:sz w:val="20"/>
          <w:szCs w:val="20"/>
        </w:rPr>
        <w:t xml:space="preserve">Department of Family Practice, </w:t>
      </w:r>
      <w:smartTag w:uri="urn:schemas-microsoft-com:office:smarttags" w:element="PlaceType">
        <w:r w:rsidRPr="00070DEA">
          <w:rPr>
            <w:rFonts w:ascii="Garamond" w:hAnsi="Garamond" w:cs="AdvPECFD32"/>
            <w:sz w:val="20"/>
            <w:szCs w:val="20"/>
          </w:rPr>
          <w:t>University</w:t>
        </w:r>
      </w:smartTag>
      <w:r w:rsidRPr="00070DEA">
        <w:rPr>
          <w:rFonts w:ascii="Garamond" w:hAnsi="Garamond" w:cs="AdvPECFD32"/>
          <w:sz w:val="20"/>
          <w:szCs w:val="20"/>
        </w:rPr>
        <w:t xml:space="preserve"> of </w:t>
      </w:r>
      <w:smartTag w:uri="urn:schemas-microsoft-com:office:smarttags" w:element="PlaceName">
        <w:r w:rsidRPr="00070DEA">
          <w:rPr>
            <w:rFonts w:ascii="Garamond" w:hAnsi="Garamond" w:cs="AdvPECFD32"/>
            <w:sz w:val="20"/>
            <w:szCs w:val="20"/>
          </w:rPr>
          <w:t>British Columbia</w:t>
        </w:r>
      </w:smartTag>
      <w:r w:rsidRPr="00070DEA">
        <w:rPr>
          <w:rFonts w:ascii="Garamond" w:hAnsi="Garamond" w:cs="AdvPECFD32"/>
          <w:sz w:val="20"/>
          <w:szCs w:val="20"/>
        </w:rPr>
        <w:t xml:space="preserve">, </w:t>
      </w:r>
      <w:smartTag w:uri="urn:schemas-microsoft-com:office:smarttags" w:element="place">
        <w:smartTag w:uri="urn:schemas-microsoft-com:office:smarttags" w:element="City">
          <w:r w:rsidRPr="00070DEA">
            <w:rPr>
              <w:rFonts w:ascii="Garamond" w:hAnsi="Garamond" w:cs="AdvPECFD32"/>
              <w:sz w:val="20"/>
              <w:szCs w:val="20"/>
            </w:rPr>
            <w:t>Vancouver</w:t>
          </w:r>
        </w:smartTag>
        <w:r w:rsidRPr="00070DEA">
          <w:rPr>
            <w:rFonts w:ascii="Garamond" w:hAnsi="Garamond" w:cs="AdvPECFD32"/>
            <w:sz w:val="20"/>
            <w:szCs w:val="20"/>
          </w:rPr>
          <w:t xml:space="preserve">, </w:t>
        </w:r>
        <w:smartTag w:uri="urn:schemas-microsoft-com:office:smarttags" w:element="State">
          <w:r w:rsidRPr="00070DEA">
            <w:rPr>
              <w:rFonts w:ascii="Garamond" w:hAnsi="Garamond" w:cs="AdvPECFD32"/>
              <w:sz w:val="20"/>
              <w:szCs w:val="20"/>
            </w:rPr>
            <w:t>British Columbia</w:t>
          </w:r>
        </w:smartTag>
        <w:r w:rsidRPr="00070DEA">
          <w:rPr>
            <w:rFonts w:ascii="Garamond" w:hAnsi="Garamond" w:cs="AdvPECFD32"/>
            <w:sz w:val="20"/>
            <w:szCs w:val="20"/>
          </w:rPr>
          <w:t xml:space="preserve">, </w:t>
        </w:r>
        <w:smartTag w:uri="urn:schemas-microsoft-com:office:smarttags" w:element="country-region">
          <w:r w:rsidRPr="00070DEA">
            <w:rPr>
              <w:rFonts w:ascii="Garamond" w:hAnsi="Garamond" w:cs="AdvPECFD32"/>
              <w:sz w:val="20"/>
              <w:szCs w:val="20"/>
            </w:rPr>
            <w:t>Canada</w:t>
          </w:r>
        </w:smartTag>
      </w:smartTag>
    </w:p>
  </w:footnote>
  <w:footnote w:id="6">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Department of Community Health Sciences, </w:t>
      </w:r>
      <w:smartTag w:uri="urn:schemas-microsoft-com:office:smarttags" w:element="PlaceType">
        <w:r w:rsidRPr="00070DEA">
          <w:rPr>
            <w:rFonts w:ascii="Garamond" w:hAnsi="Garamond"/>
          </w:rPr>
          <w:t>University</w:t>
        </w:r>
      </w:smartTag>
      <w:r w:rsidRPr="00070DEA">
        <w:rPr>
          <w:rFonts w:ascii="Garamond" w:hAnsi="Garamond"/>
        </w:rPr>
        <w:t xml:space="preserve"> of </w:t>
      </w:r>
      <w:smartTag w:uri="urn:schemas-microsoft-com:office:smarttags" w:element="PlaceName">
        <w:r w:rsidRPr="00070DEA">
          <w:rPr>
            <w:rFonts w:ascii="Garamond" w:hAnsi="Garamond"/>
          </w:rPr>
          <w:t>Manitoba</w:t>
        </w:r>
      </w:smartTag>
      <w:r w:rsidRPr="00070DEA">
        <w:rPr>
          <w:rFonts w:ascii="Garamond" w:hAnsi="Garamond"/>
        </w:rPr>
        <w:t xml:space="preserve">, </w:t>
      </w:r>
      <w:smartTag w:uri="urn:schemas-microsoft-com:office:smarttags" w:element="place">
        <w:smartTag w:uri="urn:schemas-microsoft-com:office:smarttags" w:element="City">
          <w:r w:rsidRPr="00070DEA">
            <w:rPr>
              <w:rFonts w:ascii="Garamond" w:hAnsi="Garamond"/>
            </w:rPr>
            <w:t>Winnipeg</w:t>
          </w:r>
        </w:smartTag>
        <w:r w:rsidRPr="00070DEA">
          <w:rPr>
            <w:rFonts w:ascii="Garamond" w:hAnsi="Garamond"/>
          </w:rPr>
          <w:t xml:space="preserve">, </w:t>
        </w:r>
        <w:smartTag w:uri="urn:schemas-microsoft-com:office:smarttags" w:element="State">
          <w:r w:rsidRPr="00070DEA">
            <w:rPr>
              <w:rFonts w:ascii="Garamond" w:hAnsi="Garamond"/>
            </w:rPr>
            <w:t>Manitoba</w:t>
          </w:r>
        </w:smartTag>
      </w:smartTag>
    </w:p>
  </w:footnote>
  <w:footnote w:id="7">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Principal, InfoClin, </w:t>
      </w:r>
      <w:smartTag w:uri="urn:schemas-microsoft-com:office:smarttags" w:element="place">
        <w:smartTag w:uri="urn:schemas-microsoft-com:office:smarttags" w:element="City">
          <w:r w:rsidRPr="00070DEA">
            <w:rPr>
              <w:rFonts w:ascii="Garamond" w:hAnsi="Garamond"/>
            </w:rPr>
            <w:t>Toronto</w:t>
          </w:r>
        </w:smartTag>
        <w:r w:rsidRPr="00070DEA">
          <w:rPr>
            <w:rFonts w:ascii="Garamond" w:hAnsi="Garamond"/>
          </w:rPr>
          <w:t xml:space="preserve">, </w:t>
        </w:r>
        <w:smartTag w:uri="urn:schemas-microsoft-com:office:smarttags" w:element="State">
          <w:r w:rsidRPr="00070DEA">
            <w:rPr>
              <w:rFonts w:ascii="Garamond" w:hAnsi="Garamond"/>
            </w:rPr>
            <w:t>Ontario</w:t>
          </w:r>
        </w:smartTag>
      </w:smartTag>
    </w:p>
  </w:footnote>
  <w:footnote w:id="8">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r>
      <w:r w:rsidRPr="00070DEA">
        <w:rPr>
          <w:rFonts w:ascii="Garamond" w:hAnsi="Garamond"/>
          <w:color w:val="000000"/>
        </w:rPr>
        <w:t>Department of Family and Community Medicine</w:t>
      </w:r>
      <w:r w:rsidRPr="00070DEA">
        <w:rPr>
          <w:rFonts w:ascii="Garamond" w:hAnsi="Garamond"/>
        </w:rPr>
        <w:t xml:space="preserve">, </w:t>
      </w:r>
      <w:smartTag w:uri="urn:schemas-microsoft-com:office:smarttags" w:element="place">
        <w:smartTag w:uri="urn:schemas-microsoft-com:office:smarttags" w:element="City">
          <w:r w:rsidRPr="00070DEA">
            <w:rPr>
              <w:rFonts w:ascii="Garamond" w:hAnsi="Garamond"/>
            </w:rPr>
            <w:t>University of Toronto</w:t>
          </w:r>
        </w:smartTag>
        <w:r w:rsidRPr="00070DEA">
          <w:rPr>
            <w:rFonts w:ascii="Garamond" w:hAnsi="Garamond"/>
          </w:rPr>
          <w:t xml:space="preserve">, </w:t>
        </w:r>
        <w:smartTag w:uri="urn:schemas-microsoft-com:office:smarttags" w:element="State">
          <w:r w:rsidRPr="00070DEA">
            <w:rPr>
              <w:rFonts w:ascii="Garamond" w:hAnsi="Garamond"/>
            </w:rPr>
            <w:t>Ontario</w:t>
          </w:r>
        </w:smartTag>
        <w:r w:rsidRPr="00070DEA">
          <w:rPr>
            <w:rFonts w:ascii="Garamond" w:hAnsi="Garamond"/>
          </w:rPr>
          <w:t xml:space="preserve"> </w:t>
        </w:r>
        <w:smartTag w:uri="urn:schemas-microsoft-com:office:smarttags" w:element="country-region">
          <w:r w:rsidRPr="00070DEA">
            <w:rPr>
              <w:rFonts w:ascii="Garamond" w:hAnsi="Garamond"/>
            </w:rPr>
            <w:t>Canada</w:t>
          </w:r>
        </w:smartTag>
      </w:smartTag>
    </w:p>
  </w:footnote>
  <w:footnote w:id="9">
    <w:p w:rsidR="00E12892" w:rsidRDefault="00E12892" w:rsidP="007C7760">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Department of Family Medicine, </w:t>
      </w:r>
      <w:smartTag w:uri="urn:schemas-microsoft-com:office:smarttags" w:element="place">
        <w:smartTag w:uri="urn:schemas-microsoft-com:office:smarttags" w:element="PlaceName">
          <w:r w:rsidRPr="00070DEA">
            <w:rPr>
              <w:rFonts w:ascii="Garamond" w:hAnsi="Garamond"/>
            </w:rPr>
            <w:t>McMaster</w:t>
          </w:r>
        </w:smartTag>
        <w:r w:rsidRPr="00070DEA">
          <w:rPr>
            <w:rFonts w:ascii="Garamond" w:hAnsi="Garamond"/>
          </w:rPr>
          <w:t xml:space="preserve"> </w:t>
        </w:r>
        <w:smartTag w:uri="urn:schemas-microsoft-com:office:smarttags" w:element="PlaceType">
          <w:r w:rsidRPr="00070DEA">
            <w:rPr>
              <w:rFonts w:ascii="Garamond" w:hAnsi="Garamond"/>
            </w:rPr>
            <w:t>University</w:t>
          </w:r>
        </w:smartTag>
      </w:smartTag>
    </w:p>
  </w:footnote>
  <w:footnote w:id="10">
    <w:p w:rsidR="00E12892" w:rsidRDefault="00E12892" w:rsidP="002B1D9A">
      <w:pPr>
        <w:pStyle w:val="FootnoteText"/>
        <w:ind w:left="720" w:hanging="720"/>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 xml:space="preserve">Canadian EMR is a comprehensive source for understanding many of the issues involved in the implementation and adoption of EMRs.  It offers many examples of EMR benefits offered by physicians and presents ongoing discussion of implementation issues. </w:t>
      </w:r>
      <w:hyperlink r:id="rId1" w:history="1">
        <w:r w:rsidRPr="00070DEA">
          <w:rPr>
            <w:rStyle w:val="Hyperlink"/>
            <w:rFonts w:ascii="Garamond" w:hAnsi="Garamond"/>
          </w:rPr>
          <w:t>http://www.canadianemr.ca/index.aspx</w:t>
        </w:r>
      </w:hyperlink>
      <w:r w:rsidRPr="00070DEA">
        <w:rPr>
          <w:rFonts w:ascii="Garamond" w:hAnsi="Garamond"/>
          <w:i/>
        </w:rPr>
        <w:t xml:space="preserve"> </w:t>
      </w:r>
    </w:p>
  </w:footnote>
  <w:footnote w:id="11">
    <w:p w:rsidR="00E12892" w:rsidRDefault="00E12892">
      <w:pPr>
        <w:pStyle w:val="FootnoteText"/>
      </w:pPr>
      <w:r w:rsidRPr="00AE25FE">
        <w:rPr>
          <w:rStyle w:val="FootnoteReference"/>
          <w:rFonts w:ascii="Garamond" w:hAnsi="Garamond"/>
        </w:rPr>
        <w:footnoteRef/>
      </w:r>
      <w:r w:rsidRPr="00AE25FE">
        <w:rPr>
          <w:rFonts w:ascii="Garamond" w:hAnsi="Garamond"/>
        </w:rPr>
        <w:t xml:space="preserve"> </w:t>
      </w:r>
      <w:r w:rsidRPr="00AE25FE">
        <w:rPr>
          <w:rFonts w:ascii="Garamond" w:hAnsi="Garamond"/>
        </w:rPr>
        <w:tab/>
        <w:t>As will become apparent, this approach merges the ideas of maturity and interoperability.</w:t>
      </w:r>
    </w:p>
  </w:footnote>
  <w:footnote w:id="12">
    <w:p w:rsidR="00E12892" w:rsidRDefault="00E12892" w:rsidP="00E12892">
      <w:pPr>
        <w:ind w:left="720" w:hanging="720"/>
      </w:pPr>
      <w:r>
        <w:rPr>
          <w:rStyle w:val="FootnoteReference"/>
        </w:rPr>
        <w:footnoteRef/>
      </w:r>
      <w:r>
        <w:t xml:space="preserve"> </w:t>
      </w:r>
      <w:r>
        <w:rPr>
          <w:rFonts w:ascii="Garamond" w:hAnsi="Garamond"/>
        </w:rPr>
        <w:tab/>
      </w:r>
      <w:r w:rsidRPr="00763D73">
        <w:rPr>
          <w:rFonts w:ascii="Garamond" w:hAnsi="Garamond"/>
          <w:sz w:val="20"/>
        </w:rPr>
        <w:t>Some jurisdictions (Alberta) have designated specific providers as those for which adopting primary care clinics will receive support, but this only indirectly identifies attributes and features</w:t>
      </w:r>
      <w:r w:rsidRPr="00180A71">
        <w:rPr>
          <w:rFonts w:ascii="Garamond" w:hAnsi="Garamond"/>
        </w:rPr>
        <w:t>.</w:t>
      </w:r>
    </w:p>
  </w:footnote>
  <w:footnote w:id="13">
    <w:p w:rsidR="00E12892" w:rsidRDefault="00E12892" w:rsidP="00DA1AD9">
      <w:pPr>
        <w:pStyle w:val="FootnoteText"/>
      </w:pPr>
      <w:r w:rsidRPr="00070DEA">
        <w:rPr>
          <w:rStyle w:val="FootnoteReference"/>
          <w:rFonts w:ascii="Garamond" w:hAnsi="Garamond"/>
        </w:rPr>
        <w:footnoteRef/>
      </w:r>
      <w:r w:rsidRPr="00070DEA">
        <w:rPr>
          <w:rFonts w:ascii="Garamond" w:hAnsi="Garamond"/>
        </w:rPr>
        <w:t xml:space="preserve"> </w:t>
      </w:r>
      <w:r w:rsidRPr="00070DEA">
        <w:rPr>
          <w:rFonts w:ascii="Garamond" w:hAnsi="Garamond"/>
        </w:rPr>
        <w:tab/>
        <w:t>Also referred to as organizational linkage and coded linkage matrix.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2" w:rsidRDefault="00E12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2" w:rsidRPr="00064FDF" w:rsidRDefault="00E12892" w:rsidP="00823DE3">
    <w:pPr>
      <w:pStyle w:val="Header"/>
      <w:tabs>
        <w:tab w:val="clear" w:pos="4680"/>
      </w:tabs>
      <w:rPr>
        <w:rFonts w:ascii="Garamond" w:hAnsi="Garamond"/>
      </w:rPr>
    </w:pPr>
    <w:r w:rsidRPr="00064FDF">
      <w:rPr>
        <w:rFonts w:ascii="Garamond" w:hAnsi="Garamond"/>
      </w:rPr>
      <w:tab/>
    </w:r>
    <w:r w:rsidR="00E40493" w:rsidRPr="00064FDF">
      <w:rPr>
        <w:rFonts w:ascii="Garamond" w:hAnsi="Garamond"/>
      </w:rPr>
      <w:fldChar w:fldCharType="begin"/>
    </w:r>
    <w:r w:rsidRPr="00064FDF">
      <w:rPr>
        <w:rFonts w:ascii="Garamond" w:hAnsi="Garamond"/>
      </w:rPr>
      <w:instrText xml:space="preserve"> PAGE   \* MERGEFORMAT </w:instrText>
    </w:r>
    <w:r w:rsidR="00E40493" w:rsidRPr="00064FDF">
      <w:rPr>
        <w:rFonts w:ascii="Garamond" w:hAnsi="Garamond"/>
      </w:rPr>
      <w:fldChar w:fldCharType="separate"/>
    </w:r>
    <w:r w:rsidR="005F0497">
      <w:rPr>
        <w:rFonts w:ascii="Garamond" w:hAnsi="Garamond"/>
        <w:noProof/>
      </w:rPr>
      <w:t>1</w:t>
    </w:r>
    <w:r w:rsidR="00E40493" w:rsidRPr="00064FDF">
      <w:rPr>
        <w:rFonts w:ascii="Garamond" w:hAnsi="Garamon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2" w:rsidRDefault="00E1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F46"/>
    <w:multiLevelType w:val="hybridMultilevel"/>
    <w:tmpl w:val="2CC630DA"/>
    <w:lvl w:ilvl="0" w:tplc="638EC54A">
      <w:start w:val="1"/>
      <w:numFmt w:val="decimal"/>
      <w:lvlText w:val="%1."/>
      <w:lvlJc w:val="left"/>
      <w:pPr>
        <w:ind w:left="540" w:hanging="360"/>
      </w:pPr>
      <w:rPr>
        <w:rFonts w:cs="Times New Roman"/>
        <w:b w:val="0"/>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1">
    <w:nsid w:val="073E0263"/>
    <w:multiLevelType w:val="hybridMultilevel"/>
    <w:tmpl w:val="7D1AC37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D80A5D"/>
    <w:multiLevelType w:val="hybridMultilevel"/>
    <w:tmpl w:val="863A09E6"/>
    <w:lvl w:ilvl="0" w:tplc="57E8DF3E">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97C7A59"/>
    <w:multiLevelType w:val="hybridMultilevel"/>
    <w:tmpl w:val="F8F2ECA8"/>
    <w:lvl w:ilvl="0" w:tplc="D7CEB4D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EF63393"/>
    <w:multiLevelType w:val="singleLevel"/>
    <w:tmpl w:val="10090001"/>
    <w:lvl w:ilvl="0">
      <w:start w:val="1"/>
      <w:numFmt w:val="bullet"/>
      <w:lvlText w:val=""/>
      <w:lvlJc w:val="left"/>
      <w:pPr>
        <w:ind w:left="720" w:hanging="360"/>
      </w:pPr>
      <w:rPr>
        <w:rFonts w:ascii="Symbol" w:hAnsi="Symbol" w:hint="default"/>
      </w:rPr>
    </w:lvl>
  </w:abstractNum>
  <w:abstractNum w:abstractNumId="5">
    <w:nsid w:val="11371466"/>
    <w:multiLevelType w:val="hybridMultilevel"/>
    <w:tmpl w:val="6700E346"/>
    <w:lvl w:ilvl="0" w:tplc="3438935A">
      <w:start w:val="1"/>
      <w:numFmt w:val="bullet"/>
      <w:pStyle w:val="Bullet"/>
      <w:lvlText w:val="►"/>
      <w:lvlJc w:val="left"/>
      <w:pPr>
        <w:ind w:left="720" w:hanging="360"/>
      </w:pPr>
      <w:rPr>
        <w:rFonts w:ascii="Times New Roman" w:hAnsi="Times New Roman" w:hint="default"/>
        <w:sz w:val="2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77785F"/>
    <w:multiLevelType w:val="hybridMultilevel"/>
    <w:tmpl w:val="4AC26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95A41E8"/>
    <w:multiLevelType w:val="hybridMultilevel"/>
    <w:tmpl w:val="5440AB42"/>
    <w:lvl w:ilvl="0" w:tplc="A3F6A6DA">
      <w:start w:val="1"/>
      <w:numFmt w:val="bullet"/>
      <w:pStyle w:val="Bullet2"/>
      <w:lvlText w:val="-"/>
      <w:lvlJc w:val="left"/>
      <w:pPr>
        <w:ind w:left="720" w:hanging="360"/>
      </w:pPr>
      <w:rPr>
        <w:rFonts w:ascii="Times New Roman" w:hAnsi="Times New Roman" w:hint="default"/>
        <w:b/>
        <w:i w:val="0"/>
        <w:sz w:val="3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322750"/>
    <w:multiLevelType w:val="hybridMultilevel"/>
    <w:tmpl w:val="CC603186"/>
    <w:lvl w:ilvl="0" w:tplc="6FEC39C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32F776A9"/>
    <w:multiLevelType w:val="hybridMultilevel"/>
    <w:tmpl w:val="4B66DACE"/>
    <w:lvl w:ilvl="0" w:tplc="CD8ADD52">
      <w:start w:val="1"/>
      <w:numFmt w:val="decimal"/>
      <w:lvlText w:val="%1."/>
      <w:lvlJc w:val="left"/>
      <w:pPr>
        <w:ind w:left="720" w:hanging="360"/>
      </w:pPr>
      <w:rPr>
        <w:rFonts w:cs="Times New Roman" w:hint="default"/>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3243C23"/>
    <w:multiLevelType w:val="hybridMultilevel"/>
    <w:tmpl w:val="869C76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3E6F723D"/>
    <w:multiLevelType w:val="hybridMultilevel"/>
    <w:tmpl w:val="B2725092"/>
    <w:lvl w:ilvl="0" w:tplc="E9724644">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04E2D80"/>
    <w:multiLevelType w:val="singleLevel"/>
    <w:tmpl w:val="10090001"/>
    <w:lvl w:ilvl="0">
      <w:start w:val="1"/>
      <w:numFmt w:val="bullet"/>
      <w:lvlText w:val=""/>
      <w:lvlJc w:val="left"/>
      <w:pPr>
        <w:ind w:left="720" w:hanging="360"/>
      </w:pPr>
      <w:rPr>
        <w:rFonts w:ascii="Symbol" w:hAnsi="Symbol" w:hint="default"/>
      </w:rPr>
    </w:lvl>
  </w:abstractNum>
  <w:abstractNum w:abstractNumId="13">
    <w:nsid w:val="419C3B38"/>
    <w:multiLevelType w:val="hybridMultilevel"/>
    <w:tmpl w:val="2540889E"/>
    <w:lvl w:ilvl="0" w:tplc="6CF807CC">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436535E0"/>
    <w:multiLevelType w:val="hybridMultilevel"/>
    <w:tmpl w:val="012C4696"/>
    <w:lvl w:ilvl="0" w:tplc="98E87C72">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43735D67"/>
    <w:multiLevelType w:val="hybridMultilevel"/>
    <w:tmpl w:val="FE6E784A"/>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8F47F9"/>
    <w:multiLevelType w:val="hybridMultilevel"/>
    <w:tmpl w:val="C9E29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214DE5"/>
    <w:multiLevelType w:val="hybridMultilevel"/>
    <w:tmpl w:val="016605DA"/>
    <w:lvl w:ilvl="0" w:tplc="D7E4F8FA">
      <w:start w:val="1"/>
      <w:numFmt w:val="decimal"/>
      <w:lvlText w:val="%1."/>
      <w:lvlJc w:val="left"/>
      <w:pPr>
        <w:ind w:left="720" w:hanging="360"/>
      </w:pPr>
      <w:rPr>
        <w:rFonts w:cs="Times New Roman" w:hint="default"/>
        <w:sz w:val="24"/>
        <w:szCs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5D4F73A4"/>
    <w:multiLevelType w:val="hybridMultilevel"/>
    <w:tmpl w:val="6C78CF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47CCD"/>
    <w:multiLevelType w:val="hybridMultilevel"/>
    <w:tmpl w:val="206E75F8"/>
    <w:lvl w:ilvl="0" w:tplc="10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E5B96"/>
    <w:multiLevelType w:val="multilevel"/>
    <w:tmpl w:val="86EA68F0"/>
    <w:lvl w:ilvl="0">
      <w:start w:val="1"/>
      <w:numFmt w:val="decimal"/>
      <w:pStyle w:val="Heading1"/>
      <w:lvlText w:val="%1.0"/>
      <w:lvlJc w:val="left"/>
      <w:pPr>
        <w:ind w:left="720" w:hanging="720"/>
      </w:pPr>
      <w:rPr>
        <w:rFonts w:cs="Times New Roman" w:hint="default"/>
      </w:rPr>
    </w:lvl>
    <w:lvl w:ilvl="1">
      <w:start w:val="1"/>
      <w:numFmt w:val="decimal"/>
      <w:pStyle w:val="Heading2"/>
      <w:lvlText w:val="%1.%2"/>
      <w:lvlJc w:val="left"/>
      <w:pPr>
        <w:ind w:left="1440" w:hanging="720"/>
      </w:pPr>
      <w:rPr>
        <w:rFonts w:cs="Times New Roman" w:hint="default"/>
      </w:rPr>
    </w:lvl>
    <w:lvl w:ilvl="2">
      <w:start w:val="1"/>
      <w:numFmt w:val="decimal"/>
      <w:pStyle w:val="Heading3"/>
      <w:lvlText w:val="%1.%2.%3"/>
      <w:lvlJc w:val="left"/>
      <w:pPr>
        <w:tabs>
          <w:tab w:val="num" w:pos="1440"/>
        </w:tabs>
        <w:ind w:left="2520" w:hanging="1080"/>
      </w:pPr>
      <w:rPr>
        <w:rFonts w:cs="Times New Roman" w:hint="default"/>
      </w:rPr>
    </w:lvl>
    <w:lvl w:ilvl="3">
      <w:start w:val="1"/>
      <w:numFmt w:val="none"/>
      <w:pStyle w:val="Heading4"/>
      <w:lvlText w:val="%4"/>
      <w:lvlJc w:val="left"/>
      <w:pPr>
        <w:tabs>
          <w:tab w:val="num" w:pos="2520"/>
        </w:tabs>
        <w:ind w:left="2520"/>
      </w:pPr>
      <w:rPr>
        <w:rFonts w:cs="Times New Roman" w:hint="default"/>
      </w:rPr>
    </w:lvl>
    <w:lvl w:ilvl="4">
      <w:start w:val="1"/>
      <w:numFmt w:val="none"/>
      <w:pStyle w:val="Heading5"/>
      <w:lvlText w:val="%5"/>
      <w:lvlJc w:val="left"/>
      <w:pPr>
        <w:tabs>
          <w:tab w:val="num" w:pos="2520"/>
        </w:tabs>
        <w:ind w:left="2520"/>
      </w:pPr>
      <w:rPr>
        <w:rFonts w:cs="Times New Roman" w:hint="default"/>
      </w:rPr>
    </w:lvl>
    <w:lvl w:ilvl="5">
      <w:start w:val="1"/>
      <w:numFmt w:val="none"/>
      <w:pStyle w:val="Heading6"/>
      <w:lvlText w:val="%6"/>
      <w:lvlJc w:val="left"/>
      <w:pPr>
        <w:tabs>
          <w:tab w:val="num" w:pos="2520"/>
        </w:tabs>
        <w:ind w:left="2520"/>
      </w:pPr>
      <w:rPr>
        <w:rFonts w:cs="Times New Roman" w:hint="default"/>
      </w:rPr>
    </w:lvl>
    <w:lvl w:ilvl="6">
      <w:start w:val="1"/>
      <w:numFmt w:val="none"/>
      <w:pStyle w:val="Heading7"/>
      <w:lvlText w:val="%7"/>
      <w:lvlJc w:val="left"/>
      <w:pPr>
        <w:ind w:left="2520"/>
      </w:pPr>
      <w:rPr>
        <w:rFonts w:cs="Times New Roman" w:hint="default"/>
      </w:rPr>
    </w:lvl>
    <w:lvl w:ilvl="7">
      <w:start w:val="1"/>
      <w:numFmt w:val="none"/>
      <w:pStyle w:val="Heading8"/>
      <w:lvlText w:val="%8"/>
      <w:lvlJc w:val="left"/>
      <w:pPr>
        <w:ind w:left="2520"/>
      </w:pPr>
      <w:rPr>
        <w:rFonts w:cs="Times New Roman" w:hint="default"/>
      </w:rPr>
    </w:lvl>
    <w:lvl w:ilvl="8">
      <w:start w:val="1"/>
      <w:numFmt w:val="none"/>
      <w:lvlText w:val="%9"/>
      <w:lvlJc w:val="left"/>
      <w:rPr>
        <w:rFonts w:cs="Times New Roman" w:hint="default"/>
      </w:rPr>
    </w:lvl>
  </w:abstractNum>
  <w:abstractNum w:abstractNumId="21">
    <w:nsid w:val="76167661"/>
    <w:multiLevelType w:val="hybridMultilevel"/>
    <w:tmpl w:val="93B29272"/>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7F6E0318"/>
    <w:multiLevelType w:val="hybridMultilevel"/>
    <w:tmpl w:val="D564FF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5"/>
  </w:num>
  <w:num w:numId="3">
    <w:abstractNumId w:val="20"/>
  </w:num>
  <w:num w:numId="4">
    <w:abstractNumId w:val="20"/>
  </w:num>
  <w:num w:numId="5">
    <w:abstractNumId w:val="5"/>
  </w:num>
  <w:num w:numId="6">
    <w:abstractNumId w:val="7"/>
  </w:num>
  <w:num w:numId="7">
    <w:abstractNumId w:val="0"/>
  </w:num>
  <w:num w:numId="8">
    <w:abstractNumId w:val="18"/>
  </w:num>
  <w:num w:numId="9">
    <w:abstractNumId w:val="17"/>
  </w:num>
  <w:num w:numId="10">
    <w:abstractNumId w:val="9"/>
  </w:num>
  <w:num w:numId="11">
    <w:abstractNumId w:val="21"/>
  </w:num>
  <w:num w:numId="12">
    <w:abstractNumId w:val="2"/>
  </w:num>
  <w:num w:numId="13">
    <w:abstractNumId w:val="19"/>
  </w:num>
  <w:num w:numId="14">
    <w:abstractNumId w:val="8"/>
  </w:num>
  <w:num w:numId="15">
    <w:abstractNumId w:val="3"/>
  </w:num>
  <w:num w:numId="16">
    <w:abstractNumId w:val="14"/>
  </w:num>
  <w:num w:numId="17">
    <w:abstractNumId w:val="13"/>
  </w:num>
  <w:num w:numId="18">
    <w:abstractNumId w:val="15"/>
  </w:num>
  <w:num w:numId="19">
    <w:abstractNumId w:val="11"/>
  </w:num>
  <w:num w:numId="20">
    <w:abstractNumId w:val="12"/>
  </w:num>
  <w:num w:numId="21">
    <w:abstractNumId w:val="4"/>
  </w:num>
  <w:num w:numId="22">
    <w:abstractNumId w:val="10"/>
  </w:num>
  <w:num w:numId="23">
    <w:abstractNumId w:val="1"/>
  </w:num>
  <w:num w:numId="24">
    <w:abstractNumId w:val="20"/>
  </w:num>
  <w:num w:numId="25">
    <w:abstractNumId w:val="20"/>
  </w:num>
  <w:num w:numId="26">
    <w:abstractNumId w:val="6"/>
  </w:num>
  <w:num w:numId="27">
    <w:abstractNumId w:val="22"/>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8A183FC4-1EDA-465C-81C2-381EBA479A2A}"/>
    <w:docVar w:name="dgnword-eventsink" w:val="80447568"/>
  </w:docVars>
  <w:rsids>
    <w:rsidRoot w:val="00111F31"/>
    <w:rsid w:val="000013F4"/>
    <w:rsid w:val="000103FB"/>
    <w:rsid w:val="00013749"/>
    <w:rsid w:val="00015683"/>
    <w:rsid w:val="000174D3"/>
    <w:rsid w:val="000206AA"/>
    <w:rsid w:val="00021D32"/>
    <w:rsid w:val="00026066"/>
    <w:rsid w:val="00030E67"/>
    <w:rsid w:val="000503FD"/>
    <w:rsid w:val="00050F72"/>
    <w:rsid w:val="00052E58"/>
    <w:rsid w:val="000551BF"/>
    <w:rsid w:val="00057DCD"/>
    <w:rsid w:val="00062BFB"/>
    <w:rsid w:val="00064FDF"/>
    <w:rsid w:val="00067E4F"/>
    <w:rsid w:val="00067F10"/>
    <w:rsid w:val="00070DEA"/>
    <w:rsid w:val="000736CF"/>
    <w:rsid w:val="0007629A"/>
    <w:rsid w:val="000807E7"/>
    <w:rsid w:val="00083DDA"/>
    <w:rsid w:val="00085C98"/>
    <w:rsid w:val="000867B8"/>
    <w:rsid w:val="0008786F"/>
    <w:rsid w:val="00097F5C"/>
    <w:rsid w:val="000B2B49"/>
    <w:rsid w:val="000C74BE"/>
    <w:rsid w:val="000D1C2F"/>
    <w:rsid w:val="000D7395"/>
    <w:rsid w:val="000E69E5"/>
    <w:rsid w:val="000E7BD5"/>
    <w:rsid w:val="000F00AC"/>
    <w:rsid w:val="000F3A72"/>
    <w:rsid w:val="000F6D11"/>
    <w:rsid w:val="000F7160"/>
    <w:rsid w:val="000F717A"/>
    <w:rsid w:val="00111F31"/>
    <w:rsid w:val="0011553B"/>
    <w:rsid w:val="00121A52"/>
    <w:rsid w:val="00135E8C"/>
    <w:rsid w:val="001419B3"/>
    <w:rsid w:val="00143772"/>
    <w:rsid w:val="001539B2"/>
    <w:rsid w:val="00167C11"/>
    <w:rsid w:val="00170A71"/>
    <w:rsid w:val="0017513B"/>
    <w:rsid w:val="00180A71"/>
    <w:rsid w:val="001944EF"/>
    <w:rsid w:val="0019781A"/>
    <w:rsid w:val="001A02F3"/>
    <w:rsid w:val="001A5838"/>
    <w:rsid w:val="001A78B0"/>
    <w:rsid w:val="001B400F"/>
    <w:rsid w:val="001B7006"/>
    <w:rsid w:val="001C29AF"/>
    <w:rsid w:val="001C4294"/>
    <w:rsid w:val="001C5047"/>
    <w:rsid w:val="001C5CCA"/>
    <w:rsid w:val="001D6AC9"/>
    <w:rsid w:val="001E10BF"/>
    <w:rsid w:val="001E43A3"/>
    <w:rsid w:val="00202B85"/>
    <w:rsid w:val="00211588"/>
    <w:rsid w:val="002155D8"/>
    <w:rsid w:val="00220852"/>
    <w:rsid w:val="0022125C"/>
    <w:rsid w:val="0022798D"/>
    <w:rsid w:val="00230B07"/>
    <w:rsid w:val="00233142"/>
    <w:rsid w:val="002343D0"/>
    <w:rsid w:val="002347F1"/>
    <w:rsid w:val="00243040"/>
    <w:rsid w:val="00246590"/>
    <w:rsid w:val="00246F2C"/>
    <w:rsid w:val="002472C6"/>
    <w:rsid w:val="00261B03"/>
    <w:rsid w:val="00266709"/>
    <w:rsid w:val="00267A14"/>
    <w:rsid w:val="00271C74"/>
    <w:rsid w:val="00277956"/>
    <w:rsid w:val="0028358E"/>
    <w:rsid w:val="00285B41"/>
    <w:rsid w:val="00285D13"/>
    <w:rsid w:val="00286B11"/>
    <w:rsid w:val="002A2FB8"/>
    <w:rsid w:val="002B1D9A"/>
    <w:rsid w:val="002B2A10"/>
    <w:rsid w:val="002B5584"/>
    <w:rsid w:val="002C10D5"/>
    <w:rsid w:val="002C3A87"/>
    <w:rsid w:val="002C7A28"/>
    <w:rsid w:val="002E0BC6"/>
    <w:rsid w:val="002E0DE8"/>
    <w:rsid w:val="002F63E4"/>
    <w:rsid w:val="003021AD"/>
    <w:rsid w:val="00304B7F"/>
    <w:rsid w:val="00306E67"/>
    <w:rsid w:val="0031559E"/>
    <w:rsid w:val="00327503"/>
    <w:rsid w:val="0033326B"/>
    <w:rsid w:val="00343376"/>
    <w:rsid w:val="0036058A"/>
    <w:rsid w:val="0036112D"/>
    <w:rsid w:val="003645F6"/>
    <w:rsid w:val="00365B32"/>
    <w:rsid w:val="003712D8"/>
    <w:rsid w:val="00384089"/>
    <w:rsid w:val="00385018"/>
    <w:rsid w:val="00391CAA"/>
    <w:rsid w:val="00393E9E"/>
    <w:rsid w:val="003A12D5"/>
    <w:rsid w:val="003A294A"/>
    <w:rsid w:val="003B0AEA"/>
    <w:rsid w:val="003B435D"/>
    <w:rsid w:val="003C2C77"/>
    <w:rsid w:val="003C30AC"/>
    <w:rsid w:val="003C3A3C"/>
    <w:rsid w:val="003C4741"/>
    <w:rsid w:val="003C591E"/>
    <w:rsid w:val="003D378B"/>
    <w:rsid w:val="003D7E31"/>
    <w:rsid w:val="003E1133"/>
    <w:rsid w:val="003E1332"/>
    <w:rsid w:val="003E1E9F"/>
    <w:rsid w:val="003E3CA8"/>
    <w:rsid w:val="003E4A5A"/>
    <w:rsid w:val="003F40A0"/>
    <w:rsid w:val="003F6BAD"/>
    <w:rsid w:val="00403960"/>
    <w:rsid w:val="00414671"/>
    <w:rsid w:val="00415E53"/>
    <w:rsid w:val="004169B7"/>
    <w:rsid w:val="00424154"/>
    <w:rsid w:val="00430907"/>
    <w:rsid w:val="004325F1"/>
    <w:rsid w:val="00432F7F"/>
    <w:rsid w:val="00434BDF"/>
    <w:rsid w:val="00436296"/>
    <w:rsid w:val="004449B4"/>
    <w:rsid w:val="00450846"/>
    <w:rsid w:val="00454E08"/>
    <w:rsid w:val="0045535C"/>
    <w:rsid w:val="00460BEC"/>
    <w:rsid w:val="004641DE"/>
    <w:rsid w:val="00464CA9"/>
    <w:rsid w:val="00466369"/>
    <w:rsid w:val="00467D3A"/>
    <w:rsid w:val="00471BD4"/>
    <w:rsid w:val="00472913"/>
    <w:rsid w:val="004746D5"/>
    <w:rsid w:val="00475A27"/>
    <w:rsid w:val="004956DF"/>
    <w:rsid w:val="004A4475"/>
    <w:rsid w:val="004C6005"/>
    <w:rsid w:val="004D7B93"/>
    <w:rsid w:val="004E2A93"/>
    <w:rsid w:val="004E30DD"/>
    <w:rsid w:val="004E32A6"/>
    <w:rsid w:val="004E3AF2"/>
    <w:rsid w:val="004E6402"/>
    <w:rsid w:val="004F0339"/>
    <w:rsid w:val="004F50E7"/>
    <w:rsid w:val="00504B64"/>
    <w:rsid w:val="005069C4"/>
    <w:rsid w:val="005076DB"/>
    <w:rsid w:val="00507F52"/>
    <w:rsid w:val="00517235"/>
    <w:rsid w:val="005208CE"/>
    <w:rsid w:val="00521CDB"/>
    <w:rsid w:val="00522185"/>
    <w:rsid w:val="005339A4"/>
    <w:rsid w:val="00535DA7"/>
    <w:rsid w:val="00541728"/>
    <w:rsid w:val="00551307"/>
    <w:rsid w:val="005554F2"/>
    <w:rsid w:val="00555855"/>
    <w:rsid w:val="005561EA"/>
    <w:rsid w:val="0056587B"/>
    <w:rsid w:val="00566143"/>
    <w:rsid w:val="005663A1"/>
    <w:rsid w:val="005704B1"/>
    <w:rsid w:val="0057136C"/>
    <w:rsid w:val="00571670"/>
    <w:rsid w:val="00573861"/>
    <w:rsid w:val="00580372"/>
    <w:rsid w:val="00585D7C"/>
    <w:rsid w:val="00587666"/>
    <w:rsid w:val="005962C2"/>
    <w:rsid w:val="005A3B22"/>
    <w:rsid w:val="005A69F9"/>
    <w:rsid w:val="005B1689"/>
    <w:rsid w:val="005C533E"/>
    <w:rsid w:val="005E5C4A"/>
    <w:rsid w:val="005E7977"/>
    <w:rsid w:val="005F0497"/>
    <w:rsid w:val="005F0D66"/>
    <w:rsid w:val="005F1A94"/>
    <w:rsid w:val="005F1F3E"/>
    <w:rsid w:val="005F4AF8"/>
    <w:rsid w:val="006028DA"/>
    <w:rsid w:val="00605A72"/>
    <w:rsid w:val="00605D88"/>
    <w:rsid w:val="006249D0"/>
    <w:rsid w:val="00627D80"/>
    <w:rsid w:val="00634C8E"/>
    <w:rsid w:val="006378DE"/>
    <w:rsid w:val="00642D6D"/>
    <w:rsid w:val="00656EBC"/>
    <w:rsid w:val="006604AD"/>
    <w:rsid w:val="006758DD"/>
    <w:rsid w:val="0068216E"/>
    <w:rsid w:val="00685E37"/>
    <w:rsid w:val="00686912"/>
    <w:rsid w:val="0069398A"/>
    <w:rsid w:val="00697067"/>
    <w:rsid w:val="006A039F"/>
    <w:rsid w:val="006A0696"/>
    <w:rsid w:val="006A30A6"/>
    <w:rsid w:val="006A5167"/>
    <w:rsid w:val="006B079B"/>
    <w:rsid w:val="006B274C"/>
    <w:rsid w:val="006B3D24"/>
    <w:rsid w:val="006C6321"/>
    <w:rsid w:val="006D165B"/>
    <w:rsid w:val="006D5ECD"/>
    <w:rsid w:val="006E33AA"/>
    <w:rsid w:val="006F2241"/>
    <w:rsid w:val="006F4AA2"/>
    <w:rsid w:val="006F62A7"/>
    <w:rsid w:val="006F6687"/>
    <w:rsid w:val="007016D1"/>
    <w:rsid w:val="00701A6D"/>
    <w:rsid w:val="00702039"/>
    <w:rsid w:val="00711BEE"/>
    <w:rsid w:val="0072346C"/>
    <w:rsid w:val="007306D0"/>
    <w:rsid w:val="00732BF2"/>
    <w:rsid w:val="00733D6F"/>
    <w:rsid w:val="0073780C"/>
    <w:rsid w:val="00737A0A"/>
    <w:rsid w:val="00742D88"/>
    <w:rsid w:val="0074784D"/>
    <w:rsid w:val="0075784F"/>
    <w:rsid w:val="007608B1"/>
    <w:rsid w:val="00762389"/>
    <w:rsid w:val="00762E60"/>
    <w:rsid w:val="00763D73"/>
    <w:rsid w:val="00766BC8"/>
    <w:rsid w:val="00773B64"/>
    <w:rsid w:val="0077446D"/>
    <w:rsid w:val="00775BC8"/>
    <w:rsid w:val="007760C6"/>
    <w:rsid w:val="00784A2F"/>
    <w:rsid w:val="007974E1"/>
    <w:rsid w:val="00797D1F"/>
    <w:rsid w:val="007A7039"/>
    <w:rsid w:val="007C2C6C"/>
    <w:rsid w:val="007C7760"/>
    <w:rsid w:val="007D4425"/>
    <w:rsid w:val="007E1A21"/>
    <w:rsid w:val="007F3D3C"/>
    <w:rsid w:val="007F500F"/>
    <w:rsid w:val="007F53B8"/>
    <w:rsid w:val="007F5A6B"/>
    <w:rsid w:val="00800193"/>
    <w:rsid w:val="00812915"/>
    <w:rsid w:val="008141E1"/>
    <w:rsid w:val="00814F6A"/>
    <w:rsid w:val="00816903"/>
    <w:rsid w:val="0081694E"/>
    <w:rsid w:val="00823DE3"/>
    <w:rsid w:val="008260A4"/>
    <w:rsid w:val="008326F4"/>
    <w:rsid w:val="008328A5"/>
    <w:rsid w:val="00840DC4"/>
    <w:rsid w:val="008416DF"/>
    <w:rsid w:val="008422E6"/>
    <w:rsid w:val="00842E69"/>
    <w:rsid w:val="00843D45"/>
    <w:rsid w:val="00844610"/>
    <w:rsid w:val="00857B58"/>
    <w:rsid w:val="00863BC7"/>
    <w:rsid w:val="00865646"/>
    <w:rsid w:val="00865FBE"/>
    <w:rsid w:val="00871F8F"/>
    <w:rsid w:val="00874F73"/>
    <w:rsid w:val="00880D88"/>
    <w:rsid w:val="00883E77"/>
    <w:rsid w:val="00885B2B"/>
    <w:rsid w:val="00896FF0"/>
    <w:rsid w:val="008A22D4"/>
    <w:rsid w:val="008A2CEC"/>
    <w:rsid w:val="008B3C02"/>
    <w:rsid w:val="008B6C4D"/>
    <w:rsid w:val="008C1EF3"/>
    <w:rsid w:val="008C3634"/>
    <w:rsid w:val="008C5274"/>
    <w:rsid w:val="008C52EE"/>
    <w:rsid w:val="008C7A98"/>
    <w:rsid w:val="008D1584"/>
    <w:rsid w:val="008D3B33"/>
    <w:rsid w:val="008D4FF9"/>
    <w:rsid w:val="008F0070"/>
    <w:rsid w:val="008F311F"/>
    <w:rsid w:val="008F40C7"/>
    <w:rsid w:val="008F6129"/>
    <w:rsid w:val="00901213"/>
    <w:rsid w:val="00905F36"/>
    <w:rsid w:val="009068EE"/>
    <w:rsid w:val="00911EB9"/>
    <w:rsid w:val="00913E18"/>
    <w:rsid w:val="00922BE5"/>
    <w:rsid w:val="00924476"/>
    <w:rsid w:val="00926B8B"/>
    <w:rsid w:val="009304F9"/>
    <w:rsid w:val="00930560"/>
    <w:rsid w:val="00937B81"/>
    <w:rsid w:val="00941B31"/>
    <w:rsid w:val="00943C56"/>
    <w:rsid w:val="009453A7"/>
    <w:rsid w:val="00945735"/>
    <w:rsid w:val="00946063"/>
    <w:rsid w:val="009524D8"/>
    <w:rsid w:val="0095516B"/>
    <w:rsid w:val="00955738"/>
    <w:rsid w:val="0096273D"/>
    <w:rsid w:val="0096511E"/>
    <w:rsid w:val="00972D3E"/>
    <w:rsid w:val="00973944"/>
    <w:rsid w:val="00980CC2"/>
    <w:rsid w:val="009834E9"/>
    <w:rsid w:val="0098367B"/>
    <w:rsid w:val="00995CA7"/>
    <w:rsid w:val="009A070C"/>
    <w:rsid w:val="009A1080"/>
    <w:rsid w:val="009A6EB3"/>
    <w:rsid w:val="009B360A"/>
    <w:rsid w:val="009C0EED"/>
    <w:rsid w:val="009D2CEA"/>
    <w:rsid w:val="009D451B"/>
    <w:rsid w:val="009D4E5E"/>
    <w:rsid w:val="009D6DD7"/>
    <w:rsid w:val="009E06FF"/>
    <w:rsid w:val="009E07DE"/>
    <w:rsid w:val="009E4EC3"/>
    <w:rsid w:val="009F0CBE"/>
    <w:rsid w:val="009F2071"/>
    <w:rsid w:val="00A05DF7"/>
    <w:rsid w:val="00A21173"/>
    <w:rsid w:val="00A25B51"/>
    <w:rsid w:val="00A31970"/>
    <w:rsid w:val="00A36080"/>
    <w:rsid w:val="00A42659"/>
    <w:rsid w:val="00A4321D"/>
    <w:rsid w:val="00A518DD"/>
    <w:rsid w:val="00A55262"/>
    <w:rsid w:val="00A62446"/>
    <w:rsid w:val="00A75175"/>
    <w:rsid w:val="00A83FFC"/>
    <w:rsid w:val="00A855CB"/>
    <w:rsid w:val="00A87B6F"/>
    <w:rsid w:val="00A95726"/>
    <w:rsid w:val="00AA36A9"/>
    <w:rsid w:val="00AA3DF1"/>
    <w:rsid w:val="00AB3959"/>
    <w:rsid w:val="00AC12BA"/>
    <w:rsid w:val="00AC24E2"/>
    <w:rsid w:val="00AC482D"/>
    <w:rsid w:val="00AD6886"/>
    <w:rsid w:val="00AD79E2"/>
    <w:rsid w:val="00AE0A57"/>
    <w:rsid w:val="00AE25FE"/>
    <w:rsid w:val="00AE5739"/>
    <w:rsid w:val="00AF0E4B"/>
    <w:rsid w:val="00AF1423"/>
    <w:rsid w:val="00AF5593"/>
    <w:rsid w:val="00AF5D25"/>
    <w:rsid w:val="00B03851"/>
    <w:rsid w:val="00B1120D"/>
    <w:rsid w:val="00B11A46"/>
    <w:rsid w:val="00B140E4"/>
    <w:rsid w:val="00B143D9"/>
    <w:rsid w:val="00B147A8"/>
    <w:rsid w:val="00B14B97"/>
    <w:rsid w:val="00B35F90"/>
    <w:rsid w:val="00B464E7"/>
    <w:rsid w:val="00B47313"/>
    <w:rsid w:val="00B626D0"/>
    <w:rsid w:val="00B71345"/>
    <w:rsid w:val="00B857B3"/>
    <w:rsid w:val="00B93F76"/>
    <w:rsid w:val="00B9671C"/>
    <w:rsid w:val="00BA31FA"/>
    <w:rsid w:val="00BB32BD"/>
    <w:rsid w:val="00BB73F2"/>
    <w:rsid w:val="00BC485F"/>
    <w:rsid w:val="00BC61E9"/>
    <w:rsid w:val="00BC7405"/>
    <w:rsid w:val="00BC7869"/>
    <w:rsid w:val="00BD52CC"/>
    <w:rsid w:val="00BD633A"/>
    <w:rsid w:val="00BD781B"/>
    <w:rsid w:val="00BE01CA"/>
    <w:rsid w:val="00BE1C9D"/>
    <w:rsid w:val="00BE33E5"/>
    <w:rsid w:val="00BE45F8"/>
    <w:rsid w:val="00BE62E0"/>
    <w:rsid w:val="00C01365"/>
    <w:rsid w:val="00C07259"/>
    <w:rsid w:val="00C07F00"/>
    <w:rsid w:val="00C10F57"/>
    <w:rsid w:val="00C12232"/>
    <w:rsid w:val="00C127BC"/>
    <w:rsid w:val="00C1624B"/>
    <w:rsid w:val="00C1783A"/>
    <w:rsid w:val="00C233C7"/>
    <w:rsid w:val="00C24AA8"/>
    <w:rsid w:val="00C33535"/>
    <w:rsid w:val="00C44052"/>
    <w:rsid w:val="00C454BC"/>
    <w:rsid w:val="00C45C61"/>
    <w:rsid w:val="00C510AC"/>
    <w:rsid w:val="00C51A5E"/>
    <w:rsid w:val="00C612CD"/>
    <w:rsid w:val="00C6454D"/>
    <w:rsid w:val="00C647B5"/>
    <w:rsid w:val="00C65C84"/>
    <w:rsid w:val="00C74F6C"/>
    <w:rsid w:val="00C762EC"/>
    <w:rsid w:val="00C861E3"/>
    <w:rsid w:val="00C90157"/>
    <w:rsid w:val="00C94B1F"/>
    <w:rsid w:val="00C95203"/>
    <w:rsid w:val="00C97CF9"/>
    <w:rsid w:val="00CA14AB"/>
    <w:rsid w:val="00CA3558"/>
    <w:rsid w:val="00CA3E1E"/>
    <w:rsid w:val="00CB5798"/>
    <w:rsid w:val="00CC191C"/>
    <w:rsid w:val="00CC3D1B"/>
    <w:rsid w:val="00CC4BF9"/>
    <w:rsid w:val="00CC5CBF"/>
    <w:rsid w:val="00CD029C"/>
    <w:rsid w:val="00CD08B1"/>
    <w:rsid w:val="00CD63C3"/>
    <w:rsid w:val="00CE5BAB"/>
    <w:rsid w:val="00CF0040"/>
    <w:rsid w:val="00CF031E"/>
    <w:rsid w:val="00CF2E80"/>
    <w:rsid w:val="00CF45D6"/>
    <w:rsid w:val="00D02A4E"/>
    <w:rsid w:val="00D108A7"/>
    <w:rsid w:val="00D1259A"/>
    <w:rsid w:val="00D15F0D"/>
    <w:rsid w:val="00D1649C"/>
    <w:rsid w:val="00D2293E"/>
    <w:rsid w:val="00D245A6"/>
    <w:rsid w:val="00D256A4"/>
    <w:rsid w:val="00D25F46"/>
    <w:rsid w:val="00D3564C"/>
    <w:rsid w:val="00D41848"/>
    <w:rsid w:val="00D43562"/>
    <w:rsid w:val="00D44996"/>
    <w:rsid w:val="00D46C3F"/>
    <w:rsid w:val="00D5243E"/>
    <w:rsid w:val="00D5300E"/>
    <w:rsid w:val="00D606A6"/>
    <w:rsid w:val="00D766E7"/>
    <w:rsid w:val="00D843E6"/>
    <w:rsid w:val="00D97059"/>
    <w:rsid w:val="00DA1AD9"/>
    <w:rsid w:val="00DA47D9"/>
    <w:rsid w:val="00DB045F"/>
    <w:rsid w:val="00DB4C04"/>
    <w:rsid w:val="00DB6AE9"/>
    <w:rsid w:val="00DB7D76"/>
    <w:rsid w:val="00DC22ED"/>
    <w:rsid w:val="00DC2E12"/>
    <w:rsid w:val="00DC3A05"/>
    <w:rsid w:val="00DC46E9"/>
    <w:rsid w:val="00DD4089"/>
    <w:rsid w:val="00DE3550"/>
    <w:rsid w:val="00DE44D4"/>
    <w:rsid w:val="00DE511C"/>
    <w:rsid w:val="00DE74E6"/>
    <w:rsid w:val="00DF0DC1"/>
    <w:rsid w:val="00DF4210"/>
    <w:rsid w:val="00E12892"/>
    <w:rsid w:val="00E12FA0"/>
    <w:rsid w:val="00E151A3"/>
    <w:rsid w:val="00E22DB5"/>
    <w:rsid w:val="00E31350"/>
    <w:rsid w:val="00E32D8D"/>
    <w:rsid w:val="00E40493"/>
    <w:rsid w:val="00E452C1"/>
    <w:rsid w:val="00E47EB7"/>
    <w:rsid w:val="00E50076"/>
    <w:rsid w:val="00E550E1"/>
    <w:rsid w:val="00E60B6B"/>
    <w:rsid w:val="00E6725C"/>
    <w:rsid w:val="00E716BB"/>
    <w:rsid w:val="00E7691F"/>
    <w:rsid w:val="00E84176"/>
    <w:rsid w:val="00E92C75"/>
    <w:rsid w:val="00EA40A6"/>
    <w:rsid w:val="00EA63A8"/>
    <w:rsid w:val="00EC0C1D"/>
    <w:rsid w:val="00ED263B"/>
    <w:rsid w:val="00EE1934"/>
    <w:rsid w:val="00EE3A55"/>
    <w:rsid w:val="00EF1501"/>
    <w:rsid w:val="00EF4629"/>
    <w:rsid w:val="00F00DC7"/>
    <w:rsid w:val="00F101AA"/>
    <w:rsid w:val="00F118B6"/>
    <w:rsid w:val="00F11ABE"/>
    <w:rsid w:val="00F2012E"/>
    <w:rsid w:val="00F22262"/>
    <w:rsid w:val="00F262C3"/>
    <w:rsid w:val="00F3514D"/>
    <w:rsid w:val="00F401B2"/>
    <w:rsid w:val="00F4218B"/>
    <w:rsid w:val="00F449A1"/>
    <w:rsid w:val="00F50654"/>
    <w:rsid w:val="00F510E5"/>
    <w:rsid w:val="00F51C9E"/>
    <w:rsid w:val="00F5331D"/>
    <w:rsid w:val="00F53455"/>
    <w:rsid w:val="00F570DA"/>
    <w:rsid w:val="00F6301E"/>
    <w:rsid w:val="00F66259"/>
    <w:rsid w:val="00F75F9C"/>
    <w:rsid w:val="00F77194"/>
    <w:rsid w:val="00F8132F"/>
    <w:rsid w:val="00F862DF"/>
    <w:rsid w:val="00F879A2"/>
    <w:rsid w:val="00F90DF4"/>
    <w:rsid w:val="00F95866"/>
    <w:rsid w:val="00F977A3"/>
    <w:rsid w:val="00FA167A"/>
    <w:rsid w:val="00FA78A6"/>
    <w:rsid w:val="00FB0532"/>
    <w:rsid w:val="00FB2367"/>
    <w:rsid w:val="00FB6D1D"/>
    <w:rsid w:val="00FC21DC"/>
    <w:rsid w:val="00FC29ED"/>
    <w:rsid w:val="00FC4285"/>
    <w:rsid w:val="00FC6CAB"/>
    <w:rsid w:val="00FD3AFE"/>
    <w:rsid w:val="00FD3BBD"/>
    <w:rsid w:val="00FD5F1A"/>
    <w:rsid w:val="00FD7623"/>
    <w:rsid w:val="00FE45E8"/>
    <w:rsid w:val="00FE50B8"/>
    <w:rsid w:val="00FF0494"/>
    <w:rsid w:val="00FF2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F0D"/>
    <w:rPr>
      <w:rFonts w:eastAsia="Times New Roman"/>
      <w:sz w:val="24"/>
      <w:szCs w:val="24"/>
      <w:lang w:val="en-CA"/>
    </w:rPr>
  </w:style>
  <w:style w:type="paragraph" w:styleId="Heading1">
    <w:name w:val="heading 1"/>
    <w:basedOn w:val="Normal"/>
    <w:next w:val="Normal"/>
    <w:link w:val="Heading1Char"/>
    <w:uiPriority w:val="99"/>
    <w:qFormat/>
    <w:rsid w:val="004746D5"/>
    <w:pPr>
      <w:keepNext/>
      <w:keepLines/>
      <w:numPr>
        <w:numId w:val="4"/>
      </w:numPr>
      <w:outlineLvl w:val="0"/>
    </w:pPr>
    <w:rPr>
      <w:rFonts w:ascii="Arial" w:hAnsi="Arial"/>
      <w:b/>
      <w:bCs/>
      <w:szCs w:val="28"/>
    </w:rPr>
  </w:style>
  <w:style w:type="paragraph" w:styleId="Heading2">
    <w:name w:val="heading 2"/>
    <w:basedOn w:val="Normal"/>
    <w:next w:val="Normal"/>
    <w:link w:val="Heading2Char"/>
    <w:uiPriority w:val="99"/>
    <w:qFormat/>
    <w:rsid w:val="004746D5"/>
    <w:pPr>
      <w:keepNext/>
      <w:keepLines/>
      <w:numPr>
        <w:ilvl w:val="1"/>
        <w:numId w:val="4"/>
      </w:numPr>
      <w:outlineLvl w:val="1"/>
    </w:pPr>
    <w:rPr>
      <w:rFonts w:ascii="Arial" w:hAnsi="Arial"/>
      <w:b/>
      <w:bCs/>
      <w:szCs w:val="26"/>
    </w:rPr>
  </w:style>
  <w:style w:type="paragraph" w:styleId="Heading3">
    <w:name w:val="heading 3"/>
    <w:basedOn w:val="Normal"/>
    <w:next w:val="Normal"/>
    <w:link w:val="Heading3Char"/>
    <w:uiPriority w:val="99"/>
    <w:qFormat/>
    <w:rsid w:val="004746D5"/>
    <w:pPr>
      <w:keepNext/>
      <w:keepLines/>
      <w:numPr>
        <w:ilvl w:val="2"/>
        <w:numId w:val="4"/>
      </w:numPr>
      <w:outlineLvl w:val="2"/>
    </w:pPr>
    <w:rPr>
      <w:rFonts w:ascii="Arial" w:hAnsi="Arial"/>
      <w:b/>
      <w:bCs/>
    </w:rPr>
  </w:style>
  <w:style w:type="paragraph" w:styleId="Heading4">
    <w:name w:val="heading 4"/>
    <w:basedOn w:val="Normal"/>
    <w:next w:val="Normal"/>
    <w:link w:val="Heading4Char"/>
    <w:uiPriority w:val="99"/>
    <w:qFormat/>
    <w:rsid w:val="004746D5"/>
    <w:pPr>
      <w:keepNext/>
      <w:keepLines/>
      <w:numPr>
        <w:ilvl w:val="3"/>
        <w:numId w:val="4"/>
      </w:numPr>
      <w:outlineLvl w:val="3"/>
    </w:pPr>
    <w:rPr>
      <w:rFonts w:ascii="Arial" w:hAnsi="Arial"/>
      <w:b/>
      <w:bCs/>
      <w:i/>
      <w:iCs/>
    </w:rPr>
  </w:style>
  <w:style w:type="paragraph" w:styleId="Heading5">
    <w:name w:val="heading 5"/>
    <w:basedOn w:val="Normal"/>
    <w:next w:val="Normal"/>
    <w:link w:val="Heading5Char"/>
    <w:uiPriority w:val="99"/>
    <w:qFormat/>
    <w:rsid w:val="00B140E4"/>
    <w:pPr>
      <w:keepNext/>
      <w:keepLines/>
      <w:numPr>
        <w:ilvl w:val="4"/>
        <w:numId w:val="4"/>
      </w:numPr>
      <w:jc w:val="center"/>
      <w:outlineLvl w:val="4"/>
    </w:pPr>
    <w:rPr>
      <w:rFonts w:ascii="Arial" w:hAnsi="Arial"/>
      <w:b/>
      <w:sz w:val="20"/>
    </w:rPr>
  </w:style>
  <w:style w:type="paragraph" w:styleId="Heading6">
    <w:name w:val="heading 6"/>
    <w:basedOn w:val="Normal"/>
    <w:next w:val="Normal"/>
    <w:link w:val="Heading6Char"/>
    <w:uiPriority w:val="99"/>
    <w:qFormat/>
    <w:rsid w:val="004746D5"/>
    <w:pPr>
      <w:keepNext/>
      <w:keepLines/>
      <w:numPr>
        <w:ilvl w:val="5"/>
        <w:numId w:val="4"/>
      </w:numPr>
      <w:outlineLvl w:val="5"/>
    </w:pPr>
    <w:rPr>
      <w:b/>
      <w:iCs/>
    </w:rPr>
  </w:style>
  <w:style w:type="paragraph" w:styleId="Heading7">
    <w:name w:val="heading 7"/>
    <w:basedOn w:val="Normal"/>
    <w:next w:val="Normal"/>
    <w:link w:val="Heading7Char"/>
    <w:uiPriority w:val="99"/>
    <w:qFormat/>
    <w:rsid w:val="004746D5"/>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746D5"/>
    <w:pPr>
      <w:keepNext/>
      <w:keepLines/>
      <w:numPr>
        <w:ilvl w:val="7"/>
        <w:numId w:val="4"/>
      </w:numPr>
      <w:spacing w:before="200"/>
      <w:outlineLvl w:val="7"/>
    </w:pPr>
    <w:rPr>
      <w:rFonts w:ascii="Cambria" w:hAnsi="Cambria"/>
      <w:color w:val="404040"/>
      <w:sz w:val="20"/>
      <w:szCs w:val="20"/>
    </w:rPr>
  </w:style>
  <w:style w:type="paragraph" w:styleId="Heading9">
    <w:name w:val="heading 9"/>
    <w:aliases w:val="Appendix"/>
    <w:basedOn w:val="Normal"/>
    <w:next w:val="Normal"/>
    <w:link w:val="Heading9Char"/>
    <w:uiPriority w:val="99"/>
    <w:qFormat/>
    <w:rsid w:val="00B140E4"/>
    <w:pPr>
      <w:keepNext/>
      <w:keepLines/>
      <w:jc w:val="center"/>
      <w:outlineLvl w:val="8"/>
    </w:pPr>
    <w:rPr>
      <w:rFonts w:ascii="Arial" w:hAnsi="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0AC"/>
    <w:rPr>
      <w:rFonts w:ascii="Arial" w:eastAsia="Times New Roman" w:hAnsi="Arial"/>
      <w:b/>
      <w:bCs/>
      <w:sz w:val="24"/>
      <w:szCs w:val="28"/>
      <w:lang w:val="en-CA"/>
    </w:rPr>
  </w:style>
  <w:style w:type="character" w:customStyle="1" w:styleId="Heading2Char">
    <w:name w:val="Heading 2 Char"/>
    <w:basedOn w:val="DefaultParagraphFont"/>
    <w:link w:val="Heading2"/>
    <w:uiPriority w:val="99"/>
    <w:locked/>
    <w:rsid w:val="001C4294"/>
    <w:rPr>
      <w:rFonts w:ascii="Arial" w:hAnsi="Arial" w:cs="Times New Roman"/>
      <w:b/>
      <w:bCs/>
      <w:sz w:val="26"/>
      <w:szCs w:val="26"/>
      <w:lang w:val="en-CA"/>
    </w:rPr>
  </w:style>
  <w:style w:type="character" w:customStyle="1" w:styleId="Heading3Char">
    <w:name w:val="Heading 3 Char"/>
    <w:basedOn w:val="DefaultParagraphFont"/>
    <w:link w:val="Heading3"/>
    <w:uiPriority w:val="99"/>
    <w:locked/>
    <w:rsid w:val="001C4294"/>
    <w:rPr>
      <w:rFonts w:ascii="Arial" w:hAnsi="Arial" w:cs="Times New Roman"/>
      <w:b/>
      <w:bCs/>
      <w:lang w:val="en-CA"/>
    </w:rPr>
  </w:style>
  <w:style w:type="character" w:customStyle="1" w:styleId="Heading4Char">
    <w:name w:val="Heading 4 Char"/>
    <w:basedOn w:val="DefaultParagraphFont"/>
    <w:link w:val="Heading4"/>
    <w:uiPriority w:val="99"/>
    <w:locked/>
    <w:rsid w:val="009D6DD7"/>
    <w:rPr>
      <w:rFonts w:ascii="Arial" w:hAnsi="Arial" w:cs="Times New Roman"/>
      <w:b/>
      <w:bCs/>
      <w:i/>
      <w:iCs/>
      <w:lang w:val="en-CA"/>
    </w:rPr>
  </w:style>
  <w:style w:type="character" w:customStyle="1" w:styleId="Heading5Char">
    <w:name w:val="Heading 5 Char"/>
    <w:basedOn w:val="DefaultParagraphFont"/>
    <w:link w:val="Heading5"/>
    <w:uiPriority w:val="99"/>
    <w:locked/>
    <w:rsid w:val="00B140E4"/>
    <w:rPr>
      <w:rFonts w:ascii="Arial" w:hAnsi="Arial" w:cs="Times New Roman"/>
      <w:b/>
      <w:sz w:val="20"/>
      <w:lang w:val="en-CA"/>
    </w:rPr>
  </w:style>
  <w:style w:type="character" w:customStyle="1" w:styleId="Heading6Char">
    <w:name w:val="Heading 6 Char"/>
    <w:basedOn w:val="DefaultParagraphFont"/>
    <w:link w:val="Heading6"/>
    <w:uiPriority w:val="99"/>
    <w:semiHidden/>
    <w:locked/>
    <w:rsid w:val="001C4294"/>
    <w:rPr>
      <w:rFonts w:eastAsia="Times New Roman" w:cs="Times New Roman"/>
      <w:b/>
      <w:iCs/>
      <w:lang w:val="en-CA"/>
    </w:rPr>
  </w:style>
  <w:style w:type="character" w:customStyle="1" w:styleId="Heading7Char">
    <w:name w:val="Heading 7 Char"/>
    <w:basedOn w:val="DefaultParagraphFont"/>
    <w:link w:val="Heading7"/>
    <w:uiPriority w:val="99"/>
    <w:semiHidden/>
    <w:locked/>
    <w:rsid w:val="001C4294"/>
    <w:rPr>
      <w:rFonts w:ascii="Cambria" w:hAnsi="Cambria" w:cs="Times New Roman"/>
      <w:i/>
      <w:iCs/>
      <w:color w:val="404040"/>
      <w:lang w:val="en-CA"/>
    </w:rPr>
  </w:style>
  <w:style w:type="character" w:customStyle="1" w:styleId="Heading8Char">
    <w:name w:val="Heading 8 Char"/>
    <w:basedOn w:val="DefaultParagraphFont"/>
    <w:link w:val="Heading8"/>
    <w:uiPriority w:val="99"/>
    <w:semiHidden/>
    <w:locked/>
    <w:rsid w:val="001C4294"/>
    <w:rPr>
      <w:rFonts w:ascii="Cambria" w:hAnsi="Cambria" w:cs="Times New Roman"/>
      <w:color w:val="404040"/>
      <w:sz w:val="20"/>
      <w:szCs w:val="20"/>
      <w:lang w:val="en-CA"/>
    </w:rPr>
  </w:style>
  <w:style w:type="character" w:customStyle="1" w:styleId="Heading9Char">
    <w:name w:val="Heading 9 Char"/>
    <w:aliases w:val="Appendix Char"/>
    <w:basedOn w:val="DefaultParagraphFont"/>
    <w:link w:val="Heading9"/>
    <w:uiPriority w:val="99"/>
    <w:locked/>
    <w:rsid w:val="00B140E4"/>
    <w:rPr>
      <w:rFonts w:ascii="Arial" w:hAnsi="Arial" w:cs="Times New Roman"/>
      <w:b/>
      <w:iCs/>
      <w:sz w:val="20"/>
      <w:szCs w:val="20"/>
      <w:lang w:val="en-CA"/>
    </w:rPr>
  </w:style>
  <w:style w:type="character" w:styleId="SubtleEmphasis">
    <w:name w:val="Subtle Emphasis"/>
    <w:basedOn w:val="DefaultParagraphFont"/>
    <w:uiPriority w:val="19"/>
    <w:qFormat/>
    <w:rsid w:val="00BE62E0"/>
    <w:rPr>
      <w:rFonts w:cs="Times New Roman"/>
      <w:i/>
      <w:iCs/>
      <w:color w:val="808080"/>
    </w:rPr>
  </w:style>
  <w:style w:type="paragraph" w:styleId="TOC1">
    <w:name w:val="toc 1"/>
    <w:basedOn w:val="Normal"/>
    <w:next w:val="Normal"/>
    <w:autoRedefine/>
    <w:uiPriority w:val="99"/>
    <w:rsid w:val="00385018"/>
    <w:pPr>
      <w:tabs>
        <w:tab w:val="left" w:pos="720"/>
        <w:tab w:val="right" w:leader="dot" w:pos="9350"/>
      </w:tabs>
      <w:spacing w:before="240"/>
    </w:pPr>
  </w:style>
  <w:style w:type="paragraph" w:styleId="TOC2">
    <w:name w:val="toc 2"/>
    <w:basedOn w:val="Normal"/>
    <w:next w:val="Normal"/>
    <w:autoRedefine/>
    <w:uiPriority w:val="99"/>
    <w:rsid w:val="00220852"/>
    <w:pPr>
      <w:ind w:left="720"/>
    </w:pPr>
  </w:style>
  <w:style w:type="paragraph" w:styleId="Caption">
    <w:name w:val="caption"/>
    <w:basedOn w:val="Normal"/>
    <w:next w:val="Normal"/>
    <w:uiPriority w:val="99"/>
    <w:qFormat/>
    <w:rsid w:val="007F53B8"/>
    <w:rPr>
      <w:rFonts w:ascii="Arial" w:hAnsi="Arial"/>
      <w:b/>
      <w:bCs/>
      <w:sz w:val="20"/>
      <w:szCs w:val="18"/>
    </w:rPr>
  </w:style>
  <w:style w:type="paragraph" w:customStyle="1" w:styleId="Bullet">
    <w:name w:val="Bullet"/>
    <w:basedOn w:val="Normal"/>
    <w:link w:val="BulletChar"/>
    <w:uiPriority w:val="99"/>
    <w:rsid w:val="007F53B8"/>
    <w:pPr>
      <w:numPr>
        <w:numId w:val="5"/>
      </w:numPr>
    </w:pPr>
  </w:style>
  <w:style w:type="character" w:customStyle="1" w:styleId="BulletChar">
    <w:name w:val="Bullet Char"/>
    <w:basedOn w:val="DefaultParagraphFont"/>
    <w:link w:val="Bullet"/>
    <w:uiPriority w:val="99"/>
    <w:locked/>
    <w:rsid w:val="007F53B8"/>
    <w:rPr>
      <w:rFonts w:cs="Times New Roman"/>
      <w:lang w:val="en-CA"/>
    </w:rPr>
  </w:style>
  <w:style w:type="paragraph" w:styleId="TableofFigures">
    <w:name w:val="table of figures"/>
    <w:basedOn w:val="Normal"/>
    <w:next w:val="Normal"/>
    <w:uiPriority w:val="99"/>
    <w:rsid w:val="00220852"/>
  </w:style>
  <w:style w:type="table" w:styleId="TableGrid">
    <w:name w:val="Table Grid"/>
    <w:basedOn w:val="TableNormal"/>
    <w:uiPriority w:val="99"/>
    <w:rsid w:val="00C51A5E"/>
    <w:rPr>
      <w:sz w:val="20"/>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Header"/>
    <w:basedOn w:val="Caption"/>
    <w:link w:val="Table-HeaderChar"/>
    <w:uiPriority w:val="99"/>
    <w:rsid w:val="00C51A5E"/>
  </w:style>
  <w:style w:type="character" w:customStyle="1" w:styleId="Table-HeaderChar">
    <w:name w:val="Table-Header Char"/>
    <w:basedOn w:val="DefaultParagraphFont"/>
    <w:link w:val="Table-Header"/>
    <w:uiPriority w:val="99"/>
    <w:locked/>
    <w:rsid w:val="00C51A5E"/>
    <w:rPr>
      <w:rFonts w:ascii="Arial" w:hAnsi="Arial" w:cs="Times New Roman"/>
      <w:b/>
      <w:bCs/>
      <w:sz w:val="18"/>
      <w:szCs w:val="18"/>
      <w:lang w:val="en-CA"/>
    </w:rPr>
  </w:style>
  <w:style w:type="paragraph" w:customStyle="1" w:styleId="Table-Body">
    <w:name w:val="Table-Body"/>
    <w:basedOn w:val="Normal"/>
    <w:link w:val="Table-BodyChar"/>
    <w:uiPriority w:val="99"/>
    <w:rsid w:val="00C51A5E"/>
    <w:rPr>
      <w:rFonts w:ascii="Arial" w:hAnsi="Arial" w:cs="Arial"/>
      <w:sz w:val="20"/>
      <w:szCs w:val="20"/>
    </w:rPr>
  </w:style>
  <w:style w:type="character" w:customStyle="1" w:styleId="Table-BodyChar">
    <w:name w:val="Table-Body Char"/>
    <w:basedOn w:val="Table-HeaderChar"/>
    <w:link w:val="Table-Body"/>
    <w:uiPriority w:val="99"/>
    <w:locked/>
    <w:rsid w:val="00C51A5E"/>
    <w:rPr>
      <w:rFonts w:ascii="Arial" w:hAnsi="Arial" w:cs="Arial"/>
      <w:b/>
      <w:bCs/>
      <w:sz w:val="20"/>
      <w:szCs w:val="20"/>
      <w:lang w:val="en-CA"/>
    </w:rPr>
  </w:style>
  <w:style w:type="paragraph" w:styleId="TOC3">
    <w:name w:val="toc 3"/>
    <w:basedOn w:val="Normal"/>
    <w:next w:val="Normal"/>
    <w:autoRedefine/>
    <w:uiPriority w:val="99"/>
    <w:semiHidden/>
    <w:rsid w:val="00BC485F"/>
    <w:pPr>
      <w:spacing w:after="100"/>
      <w:ind w:left="480"/>
    </w:pPr>
  </w:style>
  <w:style w:type="paragraph" w:customStyle="1" w:styleId="Bullet2">
    <w:name w:val="Bullet 2"/>
    <w:basedOn w:val="ListParagraph"/>
    <w:uiPriority w:val="99"/>
    <w:rsid w:val="00111F31"/>
    <w:pPr>
      <w:numPr>
        <w:numId w:val="6"/>
      </w:numPr>
      <w:spacing w:after="240"/>
      <w:contextualSpacing w:val="0"/>
    </w:pPr>
    <w:rPr>
      <w:rFonts w:eastAsia="Calibri"/>
      <w:szCs w:val="22"/>
    </w:rPr>
  </w:style>
  <w:style w:type="paragraph" w:styleId="FootnoteText">
    <w:name w:val="footnote text"/>
    <w:basedOn w:val="Normal"/>
    <w:link w:val="FootnoteTextChar"/>
    <w:uiPriority w:val="99"/>
    <w:semiHidden/>
    <w:rsid w:val="00111F31"/>
    <w:rPr>
      <w:rFonts w:eastAsia="Calibri"/>
      <w:sz w:val="20"/>
      <w:szCs w:val="20"/>
    </w:rPr>
  </w:style>
  <w:style w:type="character" w:customStyle="1" w:styleId="FootnoteTextChar">
    <w:name w:val="Footnote Text Char"/>
    <w:basedOn w:val="DefaultParagraphFont"/>
    <w:link w:val="FootnoteText"/>
    <w:uiPriority w:val="99"/>
    <w:semiHidden/>
    <w:locked/>
    <w:rsid w:val="00111F31"/>
    <w:rPr>
      <w:rFonts w:cs="Times New Roman"/>
      <w:sz w:val="20"/>
      <w:szCs w:val="20"/>
      <w:lang w:val="en-CA"/>
    </w:rPr>
  </w:style>
  <w:style w:type="character" w:styleId="FootnoteReference">
    <w:name w:val="footnote reference"/>
    <w:basedOn w:val="DefaultParagraphFont"/>
    <w:uiPriority w:val="99"/>
    <w:semiHidden/>
    <w:rsid w:val="00111F31"/>
    <w:rPr>
      <w:rFonts w:cs="Times New Roman"/>
      <w:vertAlign w:val="superscript"/>
    </w:rPr>
  </w:style>
  <w:style w:type="character" w:customStyle="1" w:styleId="style91">
    <w:name w:val="style91"/>
    <w:basedOn w:val="DefaultParagraphFont"/>
    <w:uiPriority w:val="99"/>
    <w:rsid w:val="00111F31"/>
    <w:rPr>
      <w:rFonts w:ascii="Arial Narrow" w:hAnsi="Arial Narrow" w:cs="Times New Roman"/>
      <w:b/>
      <w:bCs/>
      <w:color w:val="003366"/>
      <w:sz w:val="48"/>
      <w:szCs w:val="48"/>
    </w:rPr>
  </w:style>
  <w:style w:type="paragraph" w:styleId="ListParagraph">
    <w:name w:val="List Paragraph"/>
    <w:basedOn w:val="Normal"/>
    <w:uiPriority w:val="99"/>
    <w:qFormat/>
    <w:rsid w:val="00111F31"/>
    <w:pPr>
      <w:ind w:left="720"/>
      <w:contextualSpacing/>
    </w:pPr>
  </w:style>
  <w:style w:type="paragraph" w:styleId="BalloonText">
    <w:name w:val="Balloon Text"/>
    <w:basedOn w:val="Normal"/>
    <w:link w:val="BalloonTextChar"/>
    <w:uiPriority w:val="99"/>
    <w:semiHidden/>
    <w:rsid w:val="00111F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F31"/>
    <w:rPr>
      <w:rFonts w:ascii="Tahoma" w:hAnsi="Tahoma" w:cs="Tahoma"/>
      <w:sz w:val="16"/>
      <w:szCs w:val="16"/>
      <w:lang w:val="en-CA"/>
    </w:rPr>
  </w:style>
  <w:style w:type="character" w:styleId="Hyperlink">
    <w:name w:val="Hyperlink"/>
    <w:basedOn w:val="DefaultParagraphFont"/>
    <w:uiPriority w:val="99"/>
    <w:rsid w:val="00EA40A6"/>
    <w:rPr>
      <w:rFonts w:cs="Times New Roman"/>
      <w:color w:val="0000FF"/>
      <w:u w:val="single"/>
    </w:rPr>
  </w:style>
  <w:style w:type="character" w:styleId="CommentReference">
    <w:name w:val="annotation reference"/>
    <w:basedOn w:val="DefaultParagraphFont"/>
    <w:uiPriority w:val="99"/>
    <w:semiHidden/>
    <w:rsid w:val="002C3A87"/>
    <w:rPr>
      <w:rFonts w:cs="Times New Roman"/>
      <w:sz w:val="16"/>
      <w:szCs w:val="16"/>
    </w:rPr>
  </w:style>
  <w:style w:type="paragraph" w:styleId="CommentText">
    <w:name w:val="annotation text"/>
    <w:basedOn w:val="Normal"/>
    <w:link w:val="CommentTextChar"/>
    <w:uiPriority w:val="99"/>
    <w:semiHidden/>
    <w:rsid w:val="002C3A87"/>
    <w:rPr>
      <w:sz w:val="20"/>
      <w:szCs w:val="20"/>
    </w:rPr>
  </w:style>
  <w:style w:type="character" w:customStyle="1" w:styleId="CommentTextChar">
    <w:name w:val="Comment Text Char"/>
    <w:basedOn w:val="DefaultParagraphFont"/>
    <w:link w:val="CommentText"/>
    <w:uiPriority w:val="99"/>
    <w:semiHidden/>
    <w:locked/>
    <w:rsid w:val="002C3A87"/>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rsid w:val="002C3A87"/>
    <w:rPr>
      <w:b/>
      <w:bCs/>
    </w:rPr>
  </w:style>
  <w:style w:type="character" w:customStyle="1" w:styleId="CommentSubjectChar">
    <w:name w:val="Comment Subject Char"/>
    <w:basedOn w:val="CommentTextChar"/>
    <w:link w:val="CommentSubject"/>
    <w:uiPriority w:val="99"/>
    <w:semiHidden/>
    <w:locked/>
    <w:rsid w:val="002C3A87"/>
    <w:rPr>
      <w:rFonts w:eastAsia="Times New Roman" w:cs="Times New Roman"/>
      <w:b/>
      <w:bCs/>
      <w:sz w:val="20"/>
      <w:szCs w:val="20"/>
      <w:lang w:val="en-CA"/>
    </w:rPr>
  </w:style>
  <w:style w:type="character" w:styleId="FollowedHyperlink">
    <w:name w:val="FollowedHyperlink"/>
    <w:basedOn w:val="DefaultParagraphFont"/>
    <w:uiPriority w:val="99"/>
    <w:semiHidden/>
    <w:rsid w:val="005339A4"/>
    <w:rPr>
      <w:rFonts w:cs="Times New Roman"/>
      <w:color w:val="800080"/>
      <w:u w:val="single"/>
    </w:rPr>
  </w:style>
  <w:style w:type="paragraph" w:styleId="Header">
    <w:name w:val="header"/>
    <w:basedOn w:val="Normal"/>
    <w:link w:val="HeaderChar"/>
    <w:uiPriority w:val="99"/>
    <w:semiHidden/>
    <w:rsid w:val="007C7760"/>
    <w:pPr>
      <w:tabs>
        <w:tab w:val="center" w:pos="4680"/>
        <w:tab w:val="right" w:pos="9360"/>
      </w:tabs>
    </w:pPr>
  </w:style>
  <w:style w:type="character" w:customStyle="1" w:styleId="HeaderChar">
    <w:name w:val="Header Char"/>
    <w:basedOn w:val="DefaultParagraphFont"/>
    <w:link w:val="Header"/>
    <w:uiPriority w:val="99"/>
    <w:semiHidden/>
    <w:locked/>
    <w:rsid w:val="007C7760"/>
    <w:rPr>
      <w:rFonts w:eastAsia="Times New Roman" w:cs="Times New Roman"/>
      <w:sz w:val="24"/>
      <w:szCs w:val="24"/>
      <w:lang w:val="en-CA"/>
    </w:rPr>
  </w:style>
  <w:style w:type="paragraph" w:styleId="Footer">
    <w:name w:val="footer"/>
    <w:basedOn w:val="Normal"/>
    <w:link w:val="FooterChar"/>
    <w:uiPriority w:val="99"/>
    <w:rsid w:val="007C7760"/>
    <w:pPr>
      <w:tabs>
        <w:tab w:val="center" w:pos="4680"/>
        <w:tab w:val="right" w:pos="9360"/>
      </w:tabs>
    </w:pPr>
  </w:style>
  <w:style w:type="character" w:customStyle="1" w:styleId="FooterChar">
    <w:name w:val="Footer Char"/>
    <w:basedOn w:val="DefaultParagraphFont"/>
    <w:link w:val="Footer"/>
    <w:uiPriority w:val="99"/>
    <w:locked/>
    <w:rsid w:val="007C7760"/>
    <w:rPr>
      <w:rFonts w:eastAsia="Times New Roman" w:cs="Times New Roman"/>
      <w:sz w:val="24"/>
      <w:szCs w:val="24"/>
      <w:lang w:val="en-CA"/>
    </w:rPr>
  </w:style>
  <w:style w:type="paragraph" w:customStyle="1" w:styleId="MTDisplayEquation">
    <w:name w:val="MTDisplayEquation"/>
    <w:basedOn w:val="Normal"/>
    <w:next w:val="Normal"/>
    <w:link w:val="MTDisplayEquationChar"/>
    <w:rsid w:val="00FA167A"/>
    <w:pPr>
      <w:tabs>
        <w:tab w:val="center" w:pos="2160"/>
        <w:tab w:val="right" w:pos="4320"/>
      </w:tabs>
      <w:jc w:val="center"/>
    </w:pPr>
  </w:style>
  <w:style w:type="character" w:customStyle="1" w:styleId="MTDisplayEquationChar">
    <w:name w:val="MTDisplayEquation Char"/>
    <w:basedOn w:val="DefaultParagraphFont"/>
    <w:link w:val="MTDisplayEquation"/>
    <w:rsid w:val="00FA167A"/>
    <w:rPr>
      <w:rFonts w:eastAsia="Times New Roman"/>
      <w:sz w:val="24"/>
      <w:szCs w:val="24"/>
      <w:lang w:val="en-CA"/>
    </w:rPr>
  </w:style>
  <w:style w:type="paragraph" w:customStyle="1" w:styleId="Default">
    <w:name w:val="Default"/>
    <w:rsid w:val="00980CC2"/>
    <w:pPr>
      <w:autoSpaceDE w:val="0"/>
      <w:autoSpaceDN w:val="0"/>
      <w:adjustRightInd w:val="0"/>
    </w:pPr>
    <w:rPr>
      <w:rFonts w:ascii="Arial" w:eastAsiaTheme="minorHAnsi"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9.w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oleObject" Target="embeddings/oleObject7.bin"/><Relationship Id="rId37" Type="http://schemas.openxmlformats.org/officeDocument/2006/relationships/image" Target="media/image14.wmf"/><Relationship Id="rId40" Type="http://schemas.openxmlformats.org/officeDocument/2006/relationships/oleObject" Target="embeddings/oleObject11.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image" Target="media/image9.emf"/><Relationship Id="rId36" Type="http://schemas.openxmlformats.org/officeDocument/2006/relationships/oleObject" Target="embeddings/oleObject9.bin"/><Relationship Id="rId49" Type="http://schemas.openxmlformats.org/officeDocument/2006/relationships/hyperlink" Target="http://aisel.aisnet.org/bled2011/58/" TargetMode="External"/><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image" Target="media/image11.wmf"/><Relationship Id="rId44"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5.bin"/><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nadianemr.c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77AB-4785-4700-A8EA-E266FB58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benefits of electronic medical records:</vt:lpstr>
    </vt:vector>
  </TitlesOfParts>
  <Company>Microsoft</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electronic medical records:</dc:title>
  <dc:creator>Greg Mason</dc:creator>
  <cp:lastModifiedBy>Admin</cp:lastModifiedBy>
  <cp:revision>3</cp:revision>
  <cp:lastPrinted>2012-05-31T14:52:00Z</cp:lastPrinted>
  <dcterms:created xsi:type="dcterms:W3CDTF">2012-06-18T17:09:00Z</dcterms:created>
  <dcterms:modified xsi:type="dcterms:W3CDTF">2012-09-09T16:42:00Z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